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21BE" w:rsidRDefault="003421BE" w:rsidP="003421BE">
      <w:pPr>
        <w:spacing w:before="150" w:after="150" w:line="240" w:lineRule="auto"/>
        <w:ind w:left="150" w:right="150"/>
        <w:jc w:val="center"/>
        <w:rPr>
          <w:rFonts w:ascii="Verdana" w:eastAsia="Times New Roman" w:hAnsi="Verdana" w:cs="Times New Roman"/>
          <w:color w:val="424242"/>
          <w:sz w:val="40"/>
          <w:szCs w:val="40"/>
          <w:highlight w:val="cyan"/>
          <w:lang w:eastAsia="ru-RU"/>
        </w:rPr>
      </w:pPr>
      <w:r>
        <w:rPr>
          <w:rFonts w:ascii="Verdana" w:eastAsia="Times New Roman" w:hAnsi="Verdana" w:cs="Times New Roman"/>
          <w:color w:val="424242"/>
          <w:sz w:val="40"/>
          <w:szCs w:val="40"/>
          <w:highlight w:val="cyan"/>
          <w:lang w:eastAsia="ru-RU"/>
        </w:rPr>
        <w:t>ПОКАЗАТЕЛИ ЗДОРОВЬЯ ДЕТЕЙ И ПОДРОСТКОВ</w:t>
      </w:r>
    </w:p>
    <w:p w:rsidR="003421BE" w:rsidRPr="003421BE" w:rsidRDefault="003421BE" w:rsidP="003421BE">
      <w:pPr>
        <w:spacing w:before="150" w:after="150" w:line="240" w:lineRule="auto"/>
        <w:ind w:left="150" w:right="150"/>
        <w:jc w:val="center"/>
        <w:rPr>
          <w:rFonts w:ascii="Verdana" w:eastAsia="Times New Roman" w:hAnsi="Verdana" w:cs="Times New Roman"/>
          <w:color w:val="424242"/>
          <w:sz w:val="40"/>
          <w:szCs w:val="40"/>
          <w:lang w:eastAsia="ru-RU"/>
        </w:rPr>
      </w:pPr>
      <w:bookmarkStart w:id="0" w:name="_GoBack"/>
      <w:bookmarkEnd w:id="0"/>
      <w:r w:rsidRPr="003421BE">
        <w:rPr>
          <w:rFonts w:ascii="Verdana" w:eastAsia="Times New Roman" w:hAnsi="Verdana" w:cs="Times New Roman"/>
          <w:color w:val="424242"/>
          <w:sz w:val="40"/>
          <w:szCs w:val="40"/>
          <w:highlight w:val="cyan"/>
          <w:lang w:eastAsia="ru-RU"/>
        </w:rPr>
        <w:t>Основу гигиенической оценки состояния здоровья детей и подростков составляют:</w:t>
      </w:r>
    </w:p>
    <w:p w:rsidR="003421BE" w:rsidRPr="003421BE" w:rsidRDefault="003421BE" w:rsidP="003421BE">
      <w:pPr>
        <w:spacing w:before="150" w:after="150" w:line="240" w:lineRule="auto"/>
        <w:ind w:left="150" w:right="150"/>
        <w:rPr>
          <w:rFonts w:ascii="Verdana" w:eastAsia="Times New Roman" w:hAnsi="Verdana" w:cs="Times New Roman"/>
          <w:color w:val="424242"/>
          <w:sz w:val="24"/>
          <w:szCs w:val="24"/>
          <w:lang w:eastAsia="ru-RU"/>
        </w:rPr>
      </w:pPr>
      <w:r w:rsidRPr="003421BE">
        <w:rPr>
          <w:rFonts w:ascii="Verdana" w:eastAsia="Times New Roman" w:hAnsi="Verdana" w:cs="Times New Roman"/>
          <w:color w:val="424242"/>
          <w:sz w:val="24"/>
          <w:szCs w:val="24"/>
          <w:lang w:eastAsia="ru-RU"/>
        </w:rPr>
        <w:t>• отсутствие или наличие хронических заболеваний в момент обследования;</w:t>
      </w:r>
    </w:p>
    <w:p w:rsidR="003421BE" w:rsidRPr="003421BE" w:rsidRDefault="003421BE" w:rsidP="003421BE">
      <w:pPr>
        <w:spacing w:before="150" w:after="150" w:line="240" w:lineRule="auto"/>
        <w:ind w:left="150" w:right="150"/>
        <w:rPr>
          <w:rFonts w:ascii="Verdana" w:eastAsia="Times New Roman" w:hAnsi="Verdana" w:cs="Times New Roman"/>
          <w:color w:val="424242"/>
          <w:sz w:val="24"/>
          <w:szCs w:val="24"/>
          <w:lang w:eastAsia="ru-RU"/>
        </w:rPr>
      </w:pPr>
      <w:r w:rsidRPr="003421BE">
        <w:rPr>
          <w:rFonts w:ascii="Verdana" w:eastAsia="Times New Roman" w:hAnsi="Verdana" w:cs="Times New Roman"/>
          <w:color w:val="424242"/>
          <w:sz w:val="24"/>
          <w:szCs w:val="24"/>
          <w:lang w:eastAsia="ru-RU"/>
        </w:rPr>
        <w:t>• уровень достигнутого физического и психического развития и степень его гармоничности;</w:t>
      </w:r>
    </w:p>
    <w:p w:rsidR="003421BE" w:rsidRPr="003421BE" w:rsidRDefault="003421BE" w:rsidP="003421BE">
      <w:pPr>
        <w:spacing w:before="150" w:after="150" w:line="240" w:lineRule="auto"/>
        <w:ind w:left="150" w:right="150"/>
        <w:rPr>
          <w:rFonts w:ascii="Verdana" w:eastAsia="Times New Roman" w:hAnsi="Verdana" w:cs="Times New Roman"/>
          <w:color w:val="424242"/>
          <w:sz w:val="24"/>
          <w:szCs w:val="24"/>
          <w:lang w:eastAsia="ru-RU"/>
        </w:rPr>
      </w:pPr>
      <w:r w:rsidRPr="003421BE">
        <w:rPr>
          <w:rFonts w:ascii="Verdana" w:eastAsia="Times New Roman" w:hAnsi="Verdana" w:cs="Times New Roman"/>
          <w:color w:val="424242"/>
          <w:sz w:val="24"/>
          <w:szCs w:val="24"/>
          <w:lang w:eastAsia="ru-RU"/>
        </w:rPr>
        <w:t>• степень сопротивляемости организма неблагоприятным воздействиям;</w:t>
      </w:r>
    </w:p>
    <w:p w:rsidR="003421BE" w:rsidRPr="003421BE" w:rsidRDefault="003421BE" w:rsidP="003421BE">
      <w:pPr>
        <w:spacing w:before="150" w:after="150" w:line="240" w:lineRule="auto"/>
        <w:ind w:left="150" w:right="150"/>
        <w:rPr>
          <w:rFonts w:ascii="Verdana" w:eastAsia="Times New Roman" w:hAnsi="Verdana" w:cs="Times New Roman"/>
          <w:color w:val="424242"/>
          <w:sz w:val="24"/>
          <w:szCs w:val="24"/>
          <w:lang w:eastAsia="ru-RU"/>
        </w:rPr>
      </w:pPr>
      <w:r w:rsidRPr="003421BE">
        <w:rPr>
          <w:rFonts w:ascii="Verdana" w:eastAsia="Times New Roman" w:hAnsi="Verdana" w:cs="Times New Roman"/>
          <w:color w:val="424242"/>
          <w:sz w:val="24"/>
          <w:szCs w:val="24"/>
          <w:lang w:eastAsia="ru-RU"/>
        </w:rPr>
        <w:t>• особенности функционирования основных физиологических систем организма.</w:t>
      </w:r>
    </w:p>
    <w:p w:rsidR="003421BE" w:rsidRPr="003421BE" w:rsidRDefault="003421BE" w:rsidP="003421BE">
      <w:pPr>
        <w:spacing w:before="150" w:after="150" w:line="240" w:lineRule="auto"/>
        <w:ind w:left="150" w:right="150"/>
        <w:rPr>
          <w:rFonts w:ascii="Verdana" w:eastAsia="Times New Roman" w:hAnsi="Verdana" w:cs="Times New Roman"/>
          <w:color w:val="424242"/>
          <w:sz w:val="24"/>
          <w:szCs w:val="24"/>
          <w:lang w:eastAsia="ru-RU"/>
        </w:rPr>
      </w:pPr>
      <w:r w:rsidRPr="003421BE">
        <w:rPr>
          <w:rFonts w:ascii="Verdana" w:eastAsia="Times New Roman" w:hAnsi="Verdana" w:cs="Times New Roman"/>
          <w:color w:val="424242"/>
          <w:sz w:val="24"/>
          <w:szCs w:val="24"/>
          <w:lang w:eastAsia="ru-RU"/>
        </w:rPr>
        <w:t xml:space="preserve">В настоящее время на основании полученных в последние годы данных о состоянии здоровья детей, его особенностях, сведений о течении заболеваний, а также расширившихся диагностических возможностей определили необходимость внесения определенных изменений и дополнений в существующую методику. В соответствии с Приказом МЗ РФ от 30.12.2003 г. № 621 «О комплексной проверке состояния здоровья детей» не только обращают внимание на отсутствие или наличие заболеваний, но и определяют их </w:t>
      </w:r>
      <w:proofErr w:type="spellStart"/>
      <w:r w:rsidRPr="003421BE">
        <w:rPr>
          <w:rFonts w:ascii="Verdana" w:eastAsia="Times New Roman" w:hAnsi="Verdana" w:cs="Times New Roman"/>
          <w:color w:val="424242"/>
          <w:sz w:val="24"/>
          <w:szCs w:val="24"/>
          <w:lang w:eastAsia="ru-RU"/>
        </w:rPr>
        <w:t>донозологические</w:t>
      </w:r>
      <w:proofErr w:type="spellEnd"/>
      <w:r w:rsidRPr="003421BE">
        <w:rPr>
          <w:rFonts w:ascii="Verdana" w:eastAsia="Times New Roman" w:hAnsi="Verdana" w:cs="Times New Roman"/>
          <w:color w:val="424242"/>
          <w:sz w:val="24"/>
          <w:szCs w:val="24"/>
          <w:lang w:eastAsia="ru-RU"/>
        </w:rPr>
        <w:t xml:space="preserve"> и </w:t>
      </w:r>
      <w:proofErr w:type="spellStart"/>
      <w:r w:rsidRPr="003421BE">
        <w:rPr>
          <w:rFonts w:ascii="Verdana" w:eastAsia="Times New Roman" w:hAnsi="Verdana" w:cs="Times New Roman"/>
          <w:color w:val="424242"/>
          <w:sz w:val="24"/>
          <w:szCs w:val="24"/>
          <w:lang w:eastAsia="ru-RU"/>
        </w:rPr>
        <w:t>преморбидные</w:t>
      </w:r>
      <w:proofErr w:type="spellEnd"/>
      <w:r w:rsidRPr="003421BE">
        <w:rPr>
          <w:rFonts w:ascii="Verdana" w:eastAsia="Times New Roman" w:hAnsi="Verdana" w:cs="Times New Roman"/>
          <w:color w:val="424242"/>
          <w:sz w:val="24"/>
          <w:szCs w:val="24"/>
          <w:lang w:eastAsia="ru-RU"/>
        </w:rPr>
        <w:t xml:space="preserve"> формы.</w:t>
      </w:r>
    </w:p>
    <w:p w:rsidR="003421BE" w:rsidRPr="003421BE" w:rsidRDefault="003421BE" w:rsidP="003421BE">
      <w:pPr>
        <w:spacing w:before="150" w:after="150" w:line="240" w:lineRule="auto"/>
        <w:ind w:left="150" w:right="150"/>
        <w:rPr>
          <w:rFonts w:ascii="Verdana" w:eastAsia="Times New Roman" w:hAnsi="Verdana" w:cs="Times New Roman"/>
          <w:color w:val="424242"/>
          <w:sz w:val="24"/>
          <w:szCs w:val="24"/>
          <w:lang w:eastAsia="ru-RU"/>
        </w:rPr>
      </w:pPr>
      <w:r w:rsidRPr="003421BE">
        <w:rPr>
          <w:rFonts w:ascii="Verdana" w:eastAsia="Times New Roman" w:hAnsi="Verdana" w:cs="Times New Roman"/>
          <w:color w:val="424242"/>
          <w:sz w:val="24"/>
          <w:szCs w:val="24"/>
          <w:lang w:eastAsia="ru-RU"/>
        </w:rPr>
        <w:t>В соответствии с изложенными критериями здоровья и методологическим подходом к их выявлению дети в зависимости от состояния здоровья могут быть отнесены к следующим </w:t>
      </w:r>
      <w:r w:rsidRPr="003421BE">
        <w:rPr>
          <w:rFonts w:ascii="Verdana" w:eastAsia="Times New Roman" w:hAnsi="Verdana" w:cs="Times New Roman"/>
          <w:b/>
          <w:bCs/>
          <w:color w:val="424242"/>
          <w:sz w:val="24"/>
          <w:szCs w:val="24"/>
          <w:lang w:eastAsia="ru-RU"/>
        </w:rPr>
        <w:t>группам здоровья:</w:t>
      </w:r>
    </w:p>
    <w:p w:rsidR="003421BE" w:rsidRPr="003421BE" w:rsidRDefault="003421BE" w:rsidP="003421BE">
      <w:pPr>
        <w:spacing w:before="150" w:after="150" w:line="240" w:lineRule="auto"/>
        <w:ind w:left="150" w:right="150"/>
        <w:rPr>
          <w:rFonts w:ascii="Verdana" w:eastAsia="Times New Roman" w:hAnsi="Verdana" w:cs="Times New Roman"/>
          <w:color w:val="424242"/>
          <w:sz w:val="24"/>
          <w:szCs w:val="24"/>
          <w:lang w:eastAsia="ru-RU"/>
        </w:rPr>
      </w:pPr>
      <w:r w:rsidRPr="003421BE">
        <w:rPr>
          <w:rFonts w:ascii="Verdana" w:eastAsia="Times New Roman" w:hAnsi="Verdana" w:cs="Times New Roman"/>
          <w:b/>
          <w:bCs/>
          <w:color w:val="424242"/>
          <w:sz w:val="24"/>
          <w:szCs w:val="24"/>
          <w:lang w:eastAsia="ru-RU"/>
        </w:rPr>
        <w:t>1-я группа</w:t>
      </w:r>
      <w:r w:rsidRPr="003421BE">
        <w:rPr>
          <w:rFonts w:ascii="Verdana" w:eastAsia="Times New Roman" w:hAnsi="Verdana" w:cs="Times New Roman"/>
          <w:color w:val="424242"/>
          <w:sz w:val="24"/>
          <w:szCs w:val="24"/>
          <w:lang w:eastAsia="ru-RU"/>
        </w:rPr>
        <w:t>- здоровые дети, имеющие нормальное физическое и психическое развитие, не имеющие анатомических дефектов, функциональных и морфофункциональных отклонений.</w:t>
      </w:r>
    </w:p>
    <w:p w:rsidR="003421BE" w:rsidRPr="003421BE" w:rsidRDefault="003421BE" w:rsidP="003421BE">
      <w:pPr>
        <w:spacing w:before="150" w:after="150" w:line="240" w:lineRule="auto"/>
        <w:ind w:left="150" w:right="150"/>
        <w:rPr>
          <w:rFonts w:ascii="Verdana" w:eastAsia="Times New Roman" w:hAnsi="Verdana" w:cs="Times New Roman"/>
          <w:color w:val="424242"/>
          <w:sz w:val="24"/>
          <w:szCs w:val="24"/>
          <w:lang w:eastAsia="ru-RU"/>
        </w:rPr>
      </w:pPr>
      <w:r w:rsidRPr="003421BE">
        <w:rPr>
          <w:rFonts w:ascii="Verdana" w:eastAsia="Times New Roman" w:hAnsi="Verdana" w:cs="Times New Roman"/>
          <w:color w:val="424242"/>
          <w:sz w:val="24"/>
          <w:szCs w:val="24"/>
          <w:lang w:eastAsia="ru-RU"/>
        </w:rPr>
        <w:t>Исследования НИИ гигиены и охраны здоровья детей и подростков ГУ НЦЗД РАМН показали, что наполняемость этой группы здоровья в Российской Федерации не превышает 10 %, а в некоторых регионах страны составляет лишь 3-6 %, что, несомненно, говорит о санитарно-эпидемиологическом неблагополучии в стране.</w:t>
      </w:r>
    </w:p>
    <w:p w:rsidR="003421BE" w:rsidRPr="003421BE" w:rsidRDefault="003421BE" w:rsidP="003421BE">
      <w:pPr>
        <w:spacing w:before="150" w:after="150" w:line="240" w:lineRule="auto"/>
        <w:ind w:left="150" w:right="150"/>
        <w:rPr>
          <w:rFonts w:ascii="Verdana" w:eastAsia="Times New Roman" w:hAnsi="Verdana" w:cs="Times New Roman"/>
          <w:color w:val="424242"/>
          <w:sz w:val="24"/>
          <w:szCs w:val="24"/>
          <w:lang w:eastAsia="ru-RU"/>
        </w:rPr>
      </w:pPr>
      <w:r w:rsidRPr="003421BE">
        <w:rPr>
          <w:rFonts w:ascii="Verdana" w:eastAsia="Times New Roman" w:hAnsi="Verdana" w:cs="Times New Roman"/>
          <w:b/>
          <w:bCs/>
          <w:color w:val="424242"/>
          <w:sz w:val="24"/>
          <w:szCs w:val="24"/>
          <w:lang w:eastAsia="ru-RU"/>
        </w:rPr>
        <w:t>2-я группа</w:t>
      </w:r>
      <w:r w:rsidRPr="003421BE">
        <w:rPr>
          <w:rFonts w:ascii="Verdana" w:eastAsia="Times New Roman" w:hAnsi="Verdana" w:cs="Times New Roman"/>
          <w:color w:val="424242"/>
          <w:sz w:val="24"/>
          <w:szCs w:val="24"/>
          <w:lang w:eastAsia="ru-RU"/>
        </w:rPr>
        <w:t>- здоровые, но имеющие функциональные и некоторые морфологические отклонения.</w:t>
      </w:r>
    </w:p>
    <w:p w:rsidR="003421BE" w:rsidRPr="003421BE" w:rsidRDefault="003421BE" w:rsidP="003421BE">
      <w:pPr>
        <w:spacing w:before="150" w:after="150" w:line="240" w:lineRule="auto"/>
        <w:ind w:left="150" w:right="150"/>
        <w:rPr>
          <w:rFonts w:ascii="Verdana" w:eastAsia="Times New Roman" w:hAnsi="Verdana" w:cs="Times New Roman"/>
          <w:color w:val="424242"/>
          <w:sz w:val="24"/>
          <w:szCs w:val="24"/>
          <w:lang w:eastAsia="ru-RU"/>
        </w:rPr>
      </w:pPr>
      <w:r w:rsidRPr="003421BE">
        <w:rPr>
          <w:rFonts w:ascii="Verdana" w:eastAsia="Times New Roman" w:hAnsi="Verdana" w:cs="Times New Roman"/>
          <w:color w:val="424242"/>
          <w:sz w:val="24"/>
          <w:szCs w:val="24"/>
          <w:lang w:eastAsia="ru-RU"/>
        </w:rPr>
        <w:t>Следует отметить, что за последние 10 лет во всех возрастных группах произошел стремительный рост (в 1,5 раза) числа функциональных нарушений и наполняемость этой группы здоровья возросла в среднем с 20 до 35 %.</w:t>
      </w:r>
    </w:p>
    <w:p w:rsidR="003421BE" w:rsidRPr="003421BE" w:rsidRDefault="003421BE" w:rsidP="003421BE">
      <w:pPr>
        <w:spacing w:before="150" w:after="150" w:line="240" w:lineRule="auto"/>
        <w:ind w:left="150" w:right="150"/>
        <w:rPr>
          <w:rFonts w:ascii="Verdana" w:eastAsia="Times New Roman" w:hAnsi="Verdana" w:cs="Times New Roman"/>
          <w:color w:val="424242"/>
          <w:sz w:val="24"/>
          <w:szCs w:val="24"/>
          <w:lang w:eastAsia="ru-RU"/>
        </w:rPr>
      </w:pPr>
      <w:r w:rsidRPr="003421BE">
        <w:rPr>
          <w:rFonts w:ascii="Verdana" w:eastAsia="Times New Roman" w:hAnsi="Verdana" w:cs="Times New Roman"/>
          <w:b/>
          <w:bCs/>
          <w:color w:val="424242"/>
          <w:sz w:val="24"/>
          <w:szCs w:val="24"/>
          <w:lang w:eastAsia="ru-RU"/>
        </w:rPr>
        <w:lastRenderedPageBreak/>
        <w:t>3-я группа</w:t>
      </w:r>
      <w:r w:rsidRPr="003421BE">
        <w:rPr>
          <w:rFonts w:ascii="Verdana" w:eastAsia="Times New Roman" w:hAnsi="Verdana" w:cs="Times New Roman"/>
          <w:color w:val="424242"/>
          <w:sz w:val="24"/>
          <w:szCs w:val="24"/>
          <w:lang w:eastAsia="ru-RU"/>
        </w:rPr>
        <w:t>- больные хроническими заболеваниями в состоянии компенсации со сниженными функциональными возможностями организма.</w:t>
      </w:r>
    </w:p>
    <w:p w:rsidR="003421BE" w:rsidRPr="003421BE" w:rsidRDefault="003421BE" w:rsidP="003421BE">
      <w:pPr>
        <w:spacing w:before="150" w:after="150" w:line="240" w:lineRule="auto"/>
        <w:ind w:left="150" w:right="150"/>
        <w:rPr>
          <w:rFonts w:ascii="Verdana" w:eastAsia="Times New Roman" w:hAnsi="Verdana" w:cs="Times New Roman"/>
          <w:color w:val="424242"/>
          <w:sz w:val="24"/>
          <w:szCs w:val="24"/>
          <w:lang w:eastAsia="ru-RU"/>
        </w:rPr>
      </w:pPr>
      <w:r w:rsidRPr="003421BE">
        <w:rPr>
          <w:rFonts w:ascii="Verdana" w:eastAsia="Times New Roman" w:hAnsi="Verdana" w:cs="Times New Roman"/>
          <w:color w:val="424242"/>
          <w:sz w:val="24"/>
          <w:szCs w:val="24"/>
          <w:lang w:eastAsia="ru-RU"/>
        </w:rPr>
        <w:t>В РФ отмечается стойкая тенденция к росту числа хронических заболеваний среди детей и подростков. Наполняемость 3-й группы здоровья возрастает у детей в дошкольном возрасте и становится сильно выраженной в школьном возрасте, достигая 70 %.</w:t>
      </w:r>
    </w:p>
    <w:p w:rsidR="003421BE" w:rsidRPr="003421BE" w:rsidRDefault="003421BE" w:rsidP="003421BE">
      <w:pPr>
        <w:spacing w:after="0" w:line="240" w:lineRule="auto"/>
        <w:jc w:val="center"/>
        <w:rPr>
          <w:rFonts w:ascii="Times New Roman" w:eastAsia="Times New Roman" w:hAnsi="Times New Roman" w:cs="Times New Roman"/>
          <w:sz w:val="24"/>
          <w:szCs w:val="24"/>
          <w:lang w:eastAsia="ru-RU"/>
        </w:rPr>
      </w:pPr>
    </w:p>
    <w:p w:rsidR="003421BE" w:rsidRPr="003421BE" w:rsidRDefault="003421BE" w:rsidP="003421BE">
      <w:pPr>
        <w:spacing w:after="0" w:line="240" w:lineRule="auto"/>
        <w:jc w:val="center"/>
        <w:rPr>
          <w:rFonts w:ascii="Times New Roman" w:eastAsia="Times New Roman" w:hAnsi="Times New Roman" w:cs="Times New Roman"/>
          <w:sz w:val="24"/>
          <w:szCs w:val="24"/>
          <w:lang w:eastAsia="ru-RU"/>
        </w:rPr>
      </w:pPr>
    </w:p>
    <w:p w:rsidR="003421BE" w:rsidRPr="003421BE" w:rsidRDefault="003421BE" w:rsidP="003421BE">
      <w:pPr>
        <w:spacing w:before="150" w:after="150" w:line="240" w:lineRule="auto"/>
        <w:ind w:left="150" w:right="150"/>
        <w:rPr>
          <w:rFonts w:ascii="Verdana" w:eastAsia="Times New Roman" w:hAnsi="Verdana" w:cs="Times New Roman"/>
          <w:color w:val="424242"/>
          <w:sz w:val="24"/>
          <w:szCs w:val="24"/>
          <w:lang w:eastAsia="ru-RU"/>
        </w:rPr>
      </w:pPr>
      <w:r w:rsidRPr="003421BE">
        <w:rPr>
          <w:rFonts w:ascii="Verdana" w:eastAsia="Times New Roman" w:hAnsi="Verdana" w:cs="Times New Roman"/>
          <w:b/>
          <w:bCs/>
          <w:color w:val="424242"/>
          <w:sz w:val="24"/>
          <w:szCs w:val="24"/>
          <w:lang w:eastAsia="ru-RU"/>
        </w:rPr>
        <w:t>4-я группа</w:t>
      </w:r>
      <w:r w:rsidRPr="003421BE">
        <w:rPr>
          <w:rFonts w:ascii="Verdana" w:eastAsia="Times New Roman" w:hAnsi="Verdana" w:cs="Times New Roman"/>
          <w:color w:val="424242"/>
          <w:sz w:val="24"/>
          <w:szCs w:val="24"/>
          <w:lang w:eastAsia="ru-RU"/>
        </w:rPr>
        <w:t xml:space="preserve">- больные хроническими заболеваниями в состоянии </w:t>
      </w:r>
      <w:proofErr w:type="spellStart"/>
      <w:r w:rsidRPr="003421BE">
        <w:rPr>
          <w:rFonts w:ascii="Verdana" w:eastAsia="Times New Roman" w:hAnsi="Verdana" w:cs="Times New Roman"/>
          <w:color w:val="424242"/>
          <w:sz w:val="24"/>
          <w:szCs w:val="24"/>
          <w:lang w:eastAsia="ru-RU"/>
        </w:rPr>
        <w:t>субкомпенсации</w:t>
      </w:r>
      <w:proofErr w:type="spellEnd"/>
      <w:r w:rsidRPr="003421BE">
        <w:rPr>
          <w:rFonts w:ascii="Verdana" w:eastAsia="Times New Roman" w:hAnsi="Verdana" w:cs="Times New Roman"/>
          <w:color w:val="424242"/>
          <w:sz w:val="24"/>
          <w:szCs w:val="24"/>
          <w:lang w:eastAsia="ru-RU"/>
        </w:rPr>
        <w:t xml:space="preserve"> со сниженными функциональными возможностями.</w:t>
      </w:r>
    </w:p>
    <w:p w:rsidR="003421BE" w:rsidRPr="003421BE" w:rsidRDefault="003421BE" w:rsidP="003421BE">
      <w:pPr>
        <w:spacing w:before="150" w:after="150" w:line="240" w:lineRule="auto"/>
        <w:ind w:left="150" w:right="150"/>
        <w:rPr>
          <w:rFonts w:ascii="Verdana" w:eastAsia="Times New Roman" w:hAnsi="Verdana" w:cs="Times New Roman"/>
          <w:color w:val="424242"/>
          <w:sz w:val="24"/>
          <w:szCs w:val="24"/>
          <w:lang w:eastAsia="ru-RU"/>
        </w:rPr>
      </w:pPr>
      <w:r w:rsidRPr="003421BE">
        <w:rPr>
          <w:rFonts w:ascii="Verdana" w:eastAsia="Times New Roman" w:hAnsi="Verdana" w:cs="Times New Roman"/>
          <w:b/>
          <w:bCs/>
          <w:color w:val="424242"/>
          <w:sz w:val="24"/>
          <w:szCs w:val="24"/>
          <w:lang w:eastAsia="ru-RU"/>
        </w:rPr>
        <w:t>5-я группа</w:t>
      </w:r>
      <w:r w:rsidRPr="003421BE">
        <w:rPr>
          <w:rFonts w:ascii="Verdana" w:eastAsia="Times New Roman" w:hAnsi="Verdana" w:cs="Times New Roman"/>
          <w:color w:val="424242"/>
          <w:sz w:val="24"/>
          <w:szCs w:val="24"/>
          <w:lang w:eastAsia="ru-RU"/>
        </w:rPr>
        <w:t>- больные хроническими заболеваниями в состоянии декомпенсации со значительно сниженными функциональными возможностями организма, дети-инвалиды.</w:t>
      </w:r>
    </w:p>
    <w:p w:rsidR="003421BE" w:rsidRPr="003421BE" w:rsidRDefault="003421BE" w:rsidP="003421BE">
      <w:pPr>
        <w:spacing w:before="150" w:after="150" w:line="240" w:lineRule="auto"/>
        <w:ind w:left="150" w:right="150"/>
        <w:rPr>
          <w:rFonts w:ascii="Verdana" w:eastAsia="Times New Roman" w:hAnsi="Verdana" w:cs="Times New Roman"/>
          <w:color w:val="424242"/>
          <w:sz w:val="24"/>
          <w:szCs w:val="24"/>
          <w:lang w:eastAsia="ru-RU"/>
        </w:rPr>
      </w:pPr>
      <w:r w:rsidRPr="003421BE">
        <w:rPr>
          <w:rFonts w:ascii="Verdana" w:eastAsia="Times New Roman" w:hAnsi="Verdana" w:cs="Times New Roman"/>
          <w:color w:val="424242"/>
          <w:sz w:val="24"/>
          <w:szCs w:val="24"/>
          <w:lang w:eastAsia="ru-RU"/>
        </w:rPr>
        <w:t>Дети 5-й группы, как правило, не посещают детские учреждения, поэтому они часто не охвачены массовыми профилактическими медицинскими осмотрами.</w:t>
      </w:r>
    </w:p>
    <w:p w:rsidR="003421BE" w:rsidRPr="003421BE" w:rsidRDefault="003421BE" w:rsidP="003421BE">
      <w:pPr>
        <w:spacing w:before="150" w:after="150" w:line="240" w:lineRule="auto"/>
        <w:ind w:left="150" w:right="150"/>
        <w:rPr>
          <w:rFonts w:ascii="Verdana" w:eastAsia="Times New Roman" w:hAnsi="Verdana" w:cs="Times New Roman"/>
          <w:color w:val="424242"/>
          <w:sz w:val="24"/>
          <w:szCs w:val="24"/>
          <w:lang w:eastAsia="ru-RU"/>
        </w:rPr>
      </w:pPr>
      <w:r w:rsidRPr="003421BE">
        <w:rPr>
          <w:rFonts w:ascii="Verdana" w:eastAsia="Times New Roman" w:hAnsi="Verdana" w:cs="Times New Roman"/>
          <w:color w:val="424242"/>
          <w:sz w:val="24"/>
          <w:szCs w:val="24"/>
          <w:lang w:eastAsia="ru-RU"/>
        </w:rPr>
        <w:t>Предложенная классификация групп здоровья обращает внимание школьных врачей на детей 2-й группы. Имеющиеся у них незначительные функциональные отклонения в состоянии здоровья приводят к ошибкам в постановке диагноза, им не уделяется достаточного внимания. Вместе с тем неправильно дозированная учебная и физическая нагрузка может привести к перенапряжению функциональных систем организма и развитию патологического состояния.</w:t>
      </w:r>
    </w:p>
    <w:p w:rsidR="003421BE" w:rsidRPr="003421BE" w:rsidRDefault="003421BE" w:rsidP="003421BE">
      <w:pPr>
        <w:spacing w:before="150" w:after="150" w:line="240" w:lineRule="auto"/>
        <w:ind w:left="150" w:right="150"/>
        <w:rPr>
          <w:rFonts w:ascii="Verdana" w:eastAsia="Times New Roman" w:hAnsi="Verdana" w:cs="Times New Roman"/>
          <w:color w:val="424242"/>
          <w:sz w:val="24"/>
          <w:szCs w:val="24"/>
          <w:lang w:eastAsia="ru-RU"/>
        </w:rPr>
      </w:pPr>
      <w:r w:rsidRPr="003421BE">
        <w:rPr>
          <w:rFonts w:ascii="Verdana" w:eastAsia="Times New Roman" w:hAnsi="Verdana" w:cs="Times New Roman"/>
          <w:i/>
          <w:iCs/>
          <w:color w:val="424242"/>
          <w:sz w:val="24"/>
          <w:szCs w:val="24"/>
          <w:lang w:eastAsia="ru-RU"/>
        </w:rPr>
        <w:t>Для определения группы здоровья детей врачу необходимо:</w:t>
      </w:r>
    </w:p>
    <w:p w:rsidR="003421BE" w:rsidRPr="003421BE" w:rsidRDefault="003421BE" w:rsidP="003421BE">
      <w:pPr>
        <w:spacing w:before="150" w:after="150" w:line="240" w:lineRule="auto"/>
        <w:ind w:left="150" w:right="150"/>
        <w:rPr>
          <w:rFonts w:ascii="Verdana" w:eastAsia="Times New Roman" w:hAnsi="Verdana" w:cs="Times New Roman"/>
          <w:color w:val="424242"/>
          <w:sz w:val="24"/>
          <w:szCs w:val="24"/>
          <w:lang w:eastAsia="ru-RU"/>
        </w:rPr>
      </w:pPr>
      <w:r w:rsidRPr="003421BE">
        <w:rPr>
          <w:rFonts w:ascii="Verdana" w:eastAsia="Times New Roman" w:hAnsi="Verdana" w:cs="Times New Roman"/>
          <w:color w:val="424242"/>
          <w:sz w:val="24"/>
          <w:szCs w:val="24"/>
          <w:lang w:eastAsia="ru-RU"/>
        </w:rPr>
        <w:t>• Установить наличие или отсутствие хронического заболевания. При этом оценка состояния здоровья проводится на момент обследования. Острые заболевания, прошлые болезни, если они не приобрели хроническую форму, стадия реконвалесценции, вероятность возникновения заболевания, обусловленного наследственностью или условиями жизни, не учитываются. Наличие или отсутствие заболеваний определяется при врачебном осмотре с участием специалистов. Группу здоровья определяет по своей специальности каждый участвующий в осмотре врач, окончательную оценку состояния здоровья на основании заключения специалистов дают педиатр, школьный врач. Оценка состояния здоровья при нескольких заболеваниях у обследуемого проводится по самому тяжелому из них. При одном и том же заболевании дети могут быть отнесены к разным группам в зависимости от тяжести заболевания и функциональных возможностей. Так, ко 2-й группе здоровья относят детей:</w:t>
      </w:r>
    </w:p>
    <w:p w:rsidR="003421BE" w:rsidRPr="003421BE" w:rsidRDefault="003421BE" w:rsidP="003421BE">
      <w:pPr>
        <w:spacing w:after="0" w:line="240" w:lineRule="auto"/>
        <w:jc w:val="center"/>
        <w:rPr>
          <w:rFonts w:ascii="Times New Roman" w:eastAsia="Times New Roman" w:hAnsi="Times New Roman" w:cs="Times New Roman"/>
          <w:sz w:val="24"/>
          <w:szCs w:val="24"/>
          <w:lang w:eastAsia="ru-RU"/>
        </w:rPr>
      </w:pPr>
    </w:p>
    <w:p w:rsidR="003421BE" w:rsidRPr="003421BE" w:rsidRDefault="003421BE" w:rsidP="003421BE">
      <w:pPr>
        <w:spacing w:after="0" w:line="240" w:lineRule="auto"/>
        <w:jc w:val="center"/>
        <w:rPr>
          <w:rFonts w:ascii="Times New Roman" w:eastAsia="Times New Roman" w:hAnsi="Times New Roman" w:cs="Times New Roman"/>
          <w:sz w:val="24"/>
          <w:szCs w:val="24"/>
          <w:lang w:eastAsia="ru-RU"/>
        </w:rPr>
      </w:pPr>
    </w:p>
    <w:p w:rsidR="003421BE" w:rsidRPr="003421BE" w:rsidRDefault="003421BE" w:rsidP="003421BE">
      <w:pPr>
        <w:spacing w:before="150" w:after="150" w:line="240" w:lineRule="auto"/>
        <w:ind w:left="150" w:right="150"/>
        <w:rPr>
          <w:rFonts w:ascii="Verdana" w:eastAsia="Times New Roman" w:hAnsi="Verdana" w:cs="Times New Roman"/>
          <w:color w:val="424242"/>
          <w:sz w:val="24"/>
          <w:szCs w:val="24"/>
          <w:lang w:eastAsia="ru-RU"/>
        </w:rPr>
      </w:pPr>
      <w:r w:rsidRPr="003421BE">
        <w:rPr>
          <w:rFonts w:ascii="Verdana" w:eastAsia="Times New Roman" w:hAnsi="Verdana" w:cs="Times New Roman"/>
          <w:color w:val="424242"/>
          <w:sz w:val="24"/>
          <w:szCs w:val="24"/>
          <w:lang w:eastAsia="ru-RU"/>
        </w:rPr>
        <w:t>- с функциональными и морфологическими изменениями;</w:t>
      </w:r>
    </w:p>
    <w:p w:rsidR="003421BE" w:rsidRPr="003421BE" w:rsidRDefault="003421BE" w:rsidP="003421BE">
      <w:pPr>
        <w:spacing w:before="150" w:after="150" w:line="240" w:lineRule="auto"/>
        <w:ind w:left="150" w:right="150"/>
        <w:rPr>
          <w:rFonts w:ascii="Verdana" w:eastAsia="Times New Roman" w:hAnsi="Verdana" w:cs="Times New Roman"/>
          <w:color w:val="424242"/>
          <w:sz w:val="24"/>
          <w:szCs w:val="24"/>
          <w:lang w:eastAsia="ru-RU"/>
        </w:rPr>
      </w:pPr>
      <w:r w:rsidRPr="003421BE">
        <w:rPr>
          <w:rFonts w:ascii="Verdana" w:eastAsia="Times New Roman" w:hAnsi="Verdana" w:cs="Times New Roman"/>
          <w:color w:val="424242"/>
          <w:sz w:val="24"/>
          <w:szCs w:val="24"/>
          <w:lang w:eastAsia="ru-RU"/>
        </w:rPr>
        <w:lastRenderedPageBreak/>
        <w:t>- с общей задержкой физического развития без эндокринной патологии;</w:t>
      </w:r>
    </w:p>
    <w:p w:rsidR="003421BE" w:rsidRPr="003421BE" w:rsidRDefault="003421BE" w:rsidP="003421BE">
      <w:pPr>
        <w:spacing w:before="150" w:after="150" w:line="240" w:lineRule="auto"/>
        <w:ind w:left="150" w:right="150"/>
        <w:rPr>
          <w:rFonts w:ascii="Verdana" w:eastAsia="Times New Roman" w:hAnsi="Verdana" w:cs="Times New Roman"/>
          <w:color w:val="424242"/>
          <w:sz w:val="24"/>
          <w:szCs w:val="24"/>
          <w:lang w:eastAsia="ru-RU"/>
        </w:rPr>
      </w:pPr>
      <w:r w:rsidRPr="003421BE">
        <w:rPr>
          <w:rFonts w:ascii="Verdana" w:eastAsia="Times New Roman" w:hAnsi="Verdana" w:cs="Times New Roman"/>
          <w:color w:val="424242"/>
          <w:sz w:val="24"/>
          <w:szCs w:val="24"/>
          <w:lang w:eastAsia="ru-RU"/>
        </w:rPr>
        <w:t>- со значительным дефицитом или избытком массы тела;</w:t>
      </w:r>
    </w:p>
    <w:p w:rsidR="003421BE" w:rsidRPr="003421BE" w:rsidRDefault="003421BE" w:rsidP="003421BE">
      <w:pPr>
        <w:spacing w:before="150" w:after="150" w:line="240" w:lineRule="auto"/>
        <w:ind w:left="150" w:right="150"/>
        <w:rPr>
          <w:rFonts w:ascii="Verdana" w:eastAsia="Times New Roman" w:hAnsi="Verdana" w:cs="Times New Roman"/>
          <w:color w:val="424242"/>
          <w:sz w:val="24"/>
          <w:szCs w:val="24"/>
          <w:lang w:eastAsia="ru-RU"/>
        </w:rPr>
      </w:pPr>
      <w:r w:rsidRPr="003421BE">
        <w:rPr>
          <w:rFonts w:ascii="Verdana" w:eastAsia="Times New Roman" w:hAnsi="Verdana" w:cs="Times New Roman"/>
          <w:color w:val="424242"/>
          <w:sz w:val="24"/>
          <w:szCs w:val="24"/>
          <w:lang w:eastAsia="ru-RU"/>
        </w:rPr>
        <w:t>- часто (4 раза и более в год) или длительно (более 25 календарных дней по одному заболеванию) болеющих;</w:t>
      </w:r>
    </w:p>
    <w:p w:rsidR="003421BE" w:rsidRPr="003421BE" w:rsidRDefault="003421BE" w:rsidP="003421BE">
      <w:pPr>
        <w:spacing w:before="150" w:after="150" w:line="240" w:lineRule="auto"/>
        <w:ind w:left="150" w:right="150"/>
        <w:rPr>
          <w:rFonts w:ascii="Verdana" w:eastAsia="Times New Roman" w:hAnsi="Verdana" w:cs="Times New Roman"/>
          <w:color w:val="424242"/>
          <w:sz w:val="24"/>
          <w:szCs w:val="24"/>
          <w:lang w:eastAsia="ru-RU"/>
        </w:rPr>
      </w:pPr>
      <w:r w:rsidRPr="003421BE">
        <w:rPr>
          <w:rFonts w:ascii="Verdana" w:eastAsia="Times New Roman" w:hAnsi="Verdana" w:cs="Times New Roman"/>
          <w:color w:val="424242"/>
          <w:sz w:val="24"/>
          <w:szCs w:val="24"/>
          <w:lang w:eastAsia="ru-RU"/>
        </w:rPr>
        <w:t>- с функциональным шумом в сердце, тахикардией, экстрасистолией, пониженным артериальным давлением;</w:t>
      </w:r>
    </w:p>
    <w:p w:rsidR="003421BE" w:rsidRPr="003421BE" w:rsidRDefault="003421BE" w:rsidP="003421BE">
      <w:pPr>
        <w:spacing w:before="150" w:after="150" w:line="240" w:lineRule="auto"/>
        <w:ind w:left="150" w:right="150"/>
        <w:rPr>
          <w:rFonts w:ascii="Verdana" w:eastAsia="Times New Roman" w:hAnsi="Verdana" w:cs="Times New Roman"/>
          <w:color w:val="424242"/>
          <w:sz w:val="24"/>
          <w:szCs w:val="24"/>
          <w:lang w:eastAsia="ru-RU"/>
        </w:rPr>
      </w:pPr>
      <w:r w:rsidRPr="003421BE">
        <w:rPr>
          <w:rFonts w:ascii="Verdana" w:eastAsia="Times New Roman" w:hAnsi="Verdana" w:cs="Times New Roman"/>
          <w:color w:val="424242"/>
          <w:sz w:val="24"/>
          <w:szCs w:val="24"/>
          <w:lang w:eastAsia="ru-RU"/>
        </w:rPr>
        <w:t>- с кариесом 6-8 зубов;</w:t>
      </w:r>
    </w:p>
    <w:p w:rsidR="003421BE" w:rsidRPr="003421BE" w:rsidRDefault="003421BE" w:rsidP="003421BE">
      <w:pPr>
        <w:spacing w:before="150" w:after="150" w:line="240" w:lineRule="auto"/>
        <w:ind w:left="150" w:right="150"/>
        <w:rPr>
          <w:rFonts w:ascii="Verdana" w:eastAsia="Times New Roman" w:hAnsi="Verdana" w:cs="Times New Roman"/>
          <w:color w:val="424242"/>
          <w:sz w:val="24"/>
          <w:szCs w:val="24"/>
          <w:lang w:eastAsia="ru-RU"/>
        </w:rPr>
      </w:pPr>
      <w:r w:rsidRPr="003421BE">
        <w:rPr>
          <w:rFonts w:ascii="Verdana" w:eastAsia="Times New Roman" w:hAnsi="Verdana" w:cs="Times New Roman"/>
          <w:color w:val="424242"/>
          <w:sz w:val="24"/>
          <w:szCs w:val="24"/>
          <w:lang w:eastAsia="ru-RU"/>
        </w:rPr>
        <w:t>- с доброкачественной протеинурией;</w:t>
      </w:r>
    </w:p>
    <w:p w:rsidR="003421BE" w:rsidRPr="003421BE" w:rsidRDefault="003421BE" w:rsidP="003421BE">
      <w:pPr>
        <w:spacing w:before="150" w:after="150" w:line="240" w:lineRule="auto"/>
        <w:ind w:left="150" w:right="150"/>
        <w:rPr>
          <w:rFonts w:ascii="Verdana" w:eastAsia="Times New Roman" w:hAnsi="Verdana" w:cs="Times New Roman"/>
          <w:color w:val="424242"/>
          <w:sz w:val="24"/>
          <w:szCs w:val="24"/>
          <w:lang w:eastAsia="ru-RU"/>
        </w:rPr>
      </w:pPr>
      <w:r w:rsidRPr="003421BE">
        <w:rPr>
          <w:rFonts w:ascii="Verdana" w:eastAsia="Times New Roman" w:hAnsi="Verdana" w:cs="Times New Roman"/>
          <w:color w:val="424242"/>
          <w:sz w:val="24"/>
          <w:szCs w:val="24"/>
          <w:lang w:eastAsia="ru-RU"/>
        </w:rPr>
        <w:t>- с увеличением щитовидной железы I-II степени;</w:t>
      </w:r>
    </w:p>
    <w:p w:rsidR="003421BE" w:rsidRPr="003421BE" w:rsidRDefault="003421BE" w:rsidP="003421BE">
      <w:pPr>
        <w:spacing w:before="150" w:after="150" w:line="240" w:lineRule="auto"/>
        <w:ind w:left="150" w:right="150"/>
        <w:rPr>
          <w:rFonts w:ascii="Verdana" w:eastAsia="Times New Roman" w:hAnsi="Verdana" w:cs="Times New Roman"/>
          <w:color w:val="424242"/>
          <w:sz w:val="24"/>
          <w:szCs w:val="24"/>
          <w:lang w:eastAsia="ru-RU"/>
        </w:rPr>
      </w:pPr>
      <w:r w:rsidRPr="003421BE">
        <w:rPr>
          <w:rFonts w:ascii="Verdana" w:eastAsia="Times New Roman" w:hAnsi="Verdana" w:cs="Times New Roman"/>
          <w:color w:val="424242"/>
          <w:sz w:val="24"/>
          <w:szCs w:val="24"/>
          <w:lang w:eastAsia="ru-RU"/>
        </w:rPr>
        <w:t>- с аллергическими реакциями;</w:t>
      </w:r>
    </w:p>
    <w:p w:rsidR="003421BE" w:rsidRPr="003421BE" w:rsidRDefault="003421BE" w:rsidP="003421BE">
      <w:pPr>
        <w:spacing w:before="150" w:after="150" w:line="240" w:lineRule="auto"/>
        <w:ind w:left="150" w:right="150"/>
        <w:rPr>
          <w:rFonts w:ascii="Verdana" w:eastAsia="Times New Roman" w:hAnsi="Verdana" w:cs="Times New Roman"/>
          <w:color w:val="424242"/>
          <w:sz w:val="24"/>
          <w:szCs w:val="24"/>
          <w:lang w:eastAsia="ru-RU"/>
        </w:rPr>
      </w:pPr>
      <w:r w:rsidRPr="003421BE">
        <w:rPr>
          <w:rFonts w:ascii="Verdana" w:eastAsia="Times New Roman" w:hAnsi="Verdana" w:cs="Times New Roman"/>
          <w:color w:val="424242"/>
          <w:sz w:val="24"/>
          <w:szCs w:val="24"/>
          <w:lang w:eastAsia="ru-RU"/>
        </w:rPr>
        <w:t>- с миопией слабой степени;</w:t>
      </w:r>
    </w:p>
    <w:p w:rsidR="003421BE" w:rsidRPr="003421BE" w:rsidRDefault="003421BE" w:rsidP="003421BE">
      <w:pPr>
        <w:spacing w:before="150" w:after="150" w:line="240" w:lineRule="auto"/>
        <w:ind w:left="150" w:right="150"/>
        <w:rPr>
          <w:rFonts w:ascii="Verdana" w:eastAsia="Times New Roman" w:hAnsi="Verdana" w:cs="Times New Roman"/>
          <w:color w:val="424242"/>
          <w:sz w:val="24"/>
          <w:szCs w:val="24"/>
          <w:lang w:eastAsia="ru-RU"/>
        </w:rPr>
      </w:pPr>
      <w:r w:rsidRPr="003421BE">
        <w:rPr>
          <w:rFonts w:ascii="Verdana" w:eastAsia="Times New Roman" w:hAnsi="Verdana" w:cs="Times New Roman"/>
          <w:color w:val="424242"/>
          <w:sz w:val="24"/>
          <w:szCs w:val="24"/>
          <w:lang w:eastAsia="ru-RU"/>
        </w:rPr>
        <w:t>- с гипертрофией миндалин II степени;</w:t>
      </w:r>
    </w:p>
    <w:p w:rsidR="003421BE" w:rsidRPr="003421BE" w:rsidRDefault="003421BE" w:rsidP="003421BE">
      <w:pPr>
        <w:spacing w:before="150" w:after="150" w:line="240" w:lineRule="auto"/>
        <w:ind w:left="150" w:right="150"/>
        <w:rPr>
          <w:rFonts w:ascii="Verdana" w:eastAsia="Times New Roman" w:hAnsi="Verdana" w:cs="Times New Roman"/>
          <w:color w:val="424242"/>
          <w:sz w:val="24"/>
          <w:szCs w:val="24"/>
          <w:lang w:eastAsia="ru-RU"/>
        </w:rPr>
      </w:pPr>
      <w:r w:rsidRPr="003421BE">
        <w:rPr>
          <w:rFonts w:ascii="Verdana" w:eastAsia="Times New Roman" w:hAnsi="Verdana" w:cs="Times New Roman"/>
          <w:color w:val="424242"/>
          <w:sz w:val="24"/>
          <w:szCs w:val="24"/>
          <w:lang w:eastAsia="ru-RU"/>
        </w:rPr>
        <w:t>- с плоскостопием I степени;</w:t>
      </w:r>
    </w:p>
    <w:p w:rsidR="003421BE" w:rsidRPr="003421BE" w:rsidRDefault="003421BE" w:rsidP="003421BE">
      <w:pPr>
        <w:spacing w:before="150" w:after="150" w:line="240" w:lineRule="auto"/>
        <w:ind w:left="150" w:right="150"/>
        <w:rPr>
          <w:rFonts w:ascii="Verdana" w:eastAsia="Times New Roman" w:hAnsi="Verdana" w:cs="Times New Roman"/>
          <w:color w:val="424242"/>
          <w:sz w:val="24"/>
          <w:szCs w:val="24"/>
          <w:lang w:eastAsia="ru-RU"/>
        </w:rPr>
      </w:pPr>
      <w:r w:rsidRPr="003421BE">
        <w:rPr>
          <w:rFonts w:ascii="Verdana" w:eastAsia="Times New Roman" w:hAnsi="Verdana" w:cs="Times New Roman"/>
          <w:color w:val="424242"/>
          <w:sz w:val="24"/>
          <w:szCs w:val="24"/>
          <w:lang w:eastAsia="ru-RU"/>
        </w:rPr>
        <w:t>- с пониженным уровнем гемоглобина.</w:t>
      </w:r>
    </w:p>
    <w:p w:rsidR="003421BE" w:rsidRPr="003421BE" w:rsidRDefault="003421BE" w:rsidP="003421BE">
      <w:pPr>
        <w:spacing w:before="150" w:after="150" w:line="240" w:lineRule="auto"/>
        <w:ind w:left="150" w:right="150"/>
        <w:rPr>
          <w:rFonts w:ascii="Verdana" w:eastAsia="Times New Roman" w:hAnsi="Verdana" w:cs="Times New Roman"/>
          <w:color w:val="424242"/>
          <w:sz w:val="24"/>
          <w:szCs w:val="24"/>
          <w:lang w:eastAsia="ru-RU"/>
        </w:rPr>
      </w:pPr>
      <w:r w:rsidRPr="003421BE">
        <w:rPr>
          <w:rFonts w:ascii="Verdana" w:eastAsia="Times New Roman" w:hAnsi="Verdana" w:cs="Times New Roman"/>
          <w:color w:val="424242"/>
          <w:sz w:val="24"/>
          <w:szCs w:val="24"/>
          <w:lang w:eastAsia="ru-RU"/>
        </w:rPr>
        <w:t>Выделение 3-й и 4-й групп здоровья детей проводят в зависимости от выраженности патологического процесса с учетом функциональных возможностей.</w:t>
      </w:r>
    </w:p>
    <w:p w:rsidR="003421BE" w:rsidRPr="003421BE" w:rsidRDefault="003421BE" w:rsidP="003421BE">
      <w:pPr>
        <w:spacing w:before="150" w:after="150" w:line="240" w:lineRule="auto"/>
        <w:ind w:left="150" w:right="150"/>
        <w:rPr>
          <w:rFonts w:ascii="Verdana" w:eastAsia="Times New Roman" w:hAnsi="Verdana" w:cs="Times New Roman"/>
          <w:color w:val="424242"/>
          <w:sz w:val="24"/>
          <w:szCs w:val="24"/>
          <w:lang w:eastAsia="ru-RU"/>
        </w:rPr>
      </w:pPr>
      <w:r w:rsidRPr="003421BE">
        <w:rPr>
          <w:rFonts w:ascii="Verdana" w:eastAsia="Times New Roman" w:hAnsi="Verdana" w:cs="Times New Roman"/>
          <w:color w:val="424242"/>
          <w:sz w:val="24"/>
          <w:szCs w:val="24"/>
          <w:lang w:eastAsia="ru-RU"/>
        </w:rPr>
        <w:t>Отличительным и разграничительным признаком отнесения детей к 3-й или 4-й группе является распространение патологического процесса на другие органы и системы при тяжести заболевания, характерной для 3-й группы здоровья.</w:t>
      </w:r>
    </w:p>
    <w:p w:rsidR="003421BE" w:rsidRPr="003421BE" w:rsidRDefault="003421BE" w:rsidP="003421BE">
      <w:pPr>
        <w:spacing w:before="150" w:after="150" w:line="240" w:lineRule="auto"/>
        <w:ind w:left="150" w:right="150"/>
        <w:rPr>
          <w:rFonts w:ascii="Verdana" w:eastAsia="Times New Roman" w:hAnsi="Verdana" w:cs="Times New Roman"/>
          <w:color w:val="424242"/>
          <w:sz w:val="24"/>
          <w:szCs w:val="24"/>
          <w:lang w:eastAsia="ru-RU"/>
        </w:rPr>
      </w:pPr>
      <w:r w:rsidRPr="003421BE">
        <w:rPr>
          <w:rFonts w:ascii="Verdana" w:eastAsia="Times New Roman" w:hAnsi="Verdana" w:cs="Times New Roman"/>
          <w:color w:val="424242"/>
          <w:sz w:val="24"/>
          <w:szCs w:val="24"/>
          <w:lang w:eastAsia="ru-RU"/>
        </w:rPr>
        <w:t>• Определить функциональное состояние организма при медицинском осмотре по систолическому и диастолическому артериальному давлению, частоте сердечных сокращений, жизненной емкости легких и показателям кистевой динамометрии - мышечной силы рук.</w:t>
      </w:r>
    </w:p>
    <w:p w:rsidR="003421BE" w:rsidRPr="003421BE" w:rsidRDefault="003421BE" w:rsidP="003421BE">
      <w:pPr>
        <w:spacing w:before="150" w:after="150" w:line="240" w:lineRule="auto"/>
        <w:ind w:left="150" w:right="150"/>
        <w:rPr>
          <w:rFonts w:ascii="Verdana" w:eastAsia="Times New Roman" w:hAnsi="Verdana" w:cs="Times New Roman"/>
          <w:color w:val="424242"/>
          <w:sz w:val="24"/>
          <w:szCs w:val="24"/>
          <w:lang w:eastAsia="ru-RU"/>
        </w:rPr>
      </w:pPr>
      <w:r w:rsidRPr="003421BE">
        <w:rPr>
          <w:rFonts w:ascii="Verdana" w:eastAsia="Times New Roman" w:hAnsi="Verdana" w:cs="Times New Roman"/>
          <w:color w:val="424242"/>
          <w:sz w:val="24"/>
          <w:szCs w:val="24"/>
          <w:lang w:eastAsia="ru-RU"/>
        </w:rPr>
        <w:t>• Определить биологический возраст и гармоничность развития по региональным стандартам физического развития детей.</w:t>
      </w:r>
    </w:p>
    <w:p w:rsidR="003421BE" w:rsidRPr="003421BE" w:rsidRDefault="003421BE" w:rsidP="003421BE">
      <w:pPr>
        <w:spacing w:before="150" w:after="150" w:line="240" w:lineRule="auto"/>
        <w:ind w:left="150" w:right="150"/>
        <w:rPr>
          <w:rFonts w:ascii="Verdana" w:eastAsia="Times New Roman" w:hAnsi="Verdana" w:cs="Times New Roman"/>
          <w:color w:val="424242"/>
          <w:sz w:val="24"/>
          <w:szCs w:val="24"/>
          <w:lang w:eastAsia="ru-RU"/>
        </w:rPr>
      </w:pPr>
      <w:r w:rsidRPr="003421BE">
        <w:rPr>
          <w:rFonts w:ascii="Verdana" w:eastAsia="Times New Roman" w:hAnsi="Verdana" w:cs="Times New Roman"/>
          <w:color w:val="424242"/>
          <w:sz w:val="24"/>
          <w:szCs w:val="24"/>
          <w:lang w:eastAsia="ru-RU"/>
        </w:rPr>
        <w:t>• Оценить сопротивляемость организма по подверженности заболеваниям - числу острых заболеваний (включая обострение хронических) в течение года, предшествующего осмотру.</w:t>
      </w:r>
    </w:p>
    <w:p w:rsidR="003421BE" w:rsidRPr="003421BE" w:rsidRDefault="003421BE" w:rsidP="003421BE">
      <w:pPr>
        <w:spacing w:before="150" w:after="150" w:line="240" w:lineRule="auto"/>
        <w:ind w:left="150" w:right="150"/>
        <w:rPr>
          <w:rFonts w:ascii="Verdana" w:eastAsia="Times New Roman" w:hAnsi="Verdana" w:cs="Times New Roman"/>
          <w:color w:val="424242"/>
          <w:sz w:val="24"/>
          <w:szCs w:val="24"/>
          <w:lang w:eastAsia="ru-RU"/>
        </w:rPr>
      </w:pPr>
      <w:r w:rsidRPr="003421BE">
        <w:rPr>
          <w:rFonts w:ascii="Verdana" w:eastAsia="Times New Roman" w:hAnsi="Verdana" w:cs="Times New Roman"/>
          <w:color w:val="424242"/>
          <w:sz w:val="24"/>
          <w:szCs w:val="24"/>
          <w:lang w:eastAsia="ru-RU"/>
        </w:rPr>
        <w:t>Выявленные хронические заболевания, отклонения в функциональном состоянии органов и систем, установленный уровень физического развития сравнивают с оценочными таблицами групп здоровья и на основании этого относят ребенка к той или иной группе здоровья. В дальнейшем школьный врач осуществляет разработку индивидуальных оздоровительных мероприятий в отношении обследованного ребенка.</w:t>
      </w:r>
    </w:p>
    <w:p w:rsidR="003421BE" w:rsidRPr="003421BE" w:rsidRDefault="003421BE" w:rsidP="003421BE">
      <w:pPr>
        <w:spacing w:before="150" w:after="150" w:line="240" w:lineRule="auto"/>
        <w:ind w:left="150" w:right="150"/>
        <w:rPr>
          <w:rFonts w:ascii="Verdana" w:eastAsia="Times New Roman" w:hAnsi="Verdana" w:cs="Times New Roman"/>
          <w:color w:val="424242"/>
          <w:sz w:val="24"/>
          <w:szCs w:val="24"/>
          <w:lang w:eastAsia="ru-RU"/>
        </w:rPr>
      </w:pPr>
      <w:r w:rsidRPr="003421BE">
        <w:rPr>
          <w:rFonts w:ascii="Verdana" w:eastAsia="Times New Roman" w:hAnsi="Verdana" w:cs="Times New Roman"/>
          <w:color w:val="424242"/>
          <w:sz w:val="24"/>
          <w:szCs w:val="24"/>
          <w:lang w:eastAsia="ru-RU"/>
        </w:rPr>
        <w:t xml:space="preserve">Основным методом, позволяющим получить показатели, на основании которых дается комплексная оценка состояния здоровья, является </w:t>
      </w:r>
      <w:r w:rsidRPr="003421BE">
        <w:rPr>
          <w:rFonts w:ascii="Verdana" w:eastAsia="Times New Roman" w:hAnsi="Verdana" w:cs="Times New Roman"/>
          <w:color w:val="424242"/>
          <w:sz w:val="24"/>
          <w:szCs w:val="24"/>
          <w:lang w:eastAsia="ru-RU"/>
        </w:rPr>
        <w:lastRenderedPageBreak/>
        <w:t>профилактический медицинский осмотр. Предусмотрены следующие сроки проведения осмотров: 3 года (перед поступлением в дошкольное общеобразовательное учреждение); 5 лет; 6 (7) лет; 7 (8) лет (по окончании 1-го класса школы); 10 лет (при переходе на предметное обучение); 12 лет; 14-15 лет.</w:t>
      </w:r>
    </w:p>
    <w:p w:rsidR="003421BE" w:rsidRPr="003421BE" w:rsidRDefault="003421BE" w:rsidP="003421BE">
      <w:pPr>
        <w:spacing w:before="150" w:after="150" w:line="240" w:lineRule="auto"/>
        <w:ind w:left="150" w:right="150"/>
        <w:rPr>
          <w:rFonts w:ascii="Verdana" w:eastAsia="Times New Roman" w:hAnsi="Verdana" w:cs="Times New Roman"/>
          <w:color w:val="424242"/>
          <w:sz w:val="24"/>
          <w:szCs w:val="24"/>
          <w:lang w:eastAsia="ru-RU"/>
        </w:rPr>
      </w:pPr>
      <w:r w:rsidRPr="003421BE">
        <w:rPr>
          <w:rFonts w:ascii="Verdana" w:eastAsia="Times New Roman" w:hAnsi="Verdana" w:cs="Times New Roman"/>
          <w:color w:val="424242"/>
          <w:sz w:val="24"/>
          <w:szCs w:val="24"/>
          <w:lang w:eastAsia="ru-RU"/>
        </w:rPr>
        <w:t>Для оценки здоровья детей используют три группы показателей:</w:t>
      </w:r>
    </w:p>
    <w:p w:rsidR="003421BE" w:rsidRPr="003421BE" w:rsidRDefault="003421BE" w:rsidP="003421BE">
      <w:pPr>
        <w:spacing w:before="150" w:after="150" w:line="240" w:lineRule="auto"/>
        <w:ind w:left="150" w:right="150"/>
        <w:rPr>
          <w:rFonts w:ascii="Verdana" w:eastAsia="Times New Roman" w:hAnsi="Verdana" w:cs="Times New Roman"/>
          <w:color w:val="424242"/>
          <w:sz w:val="24"/>
          <w:szCs w:val="24"/>
          <w:lang w:eastAsia="ru-RU"/>
        </w:rPr>
      </w:pPr>
      <w:r w:rsidRPr="003421BE">
        <w:rPr>
          <w:rFonts w:ascii="Verdana" w:eastAsia="Times New Roman" w:hAnsi="Verdana" w:cs="Times New Roman"/>
          <w:color w:val="424242"/>
          <w:sz w:val="24"/>
          <w:szCs w:val="24"/>
          <w:lang w:eastAsia="ru-RU"/>
        </w:rPr>
        <w:t>• Медицинские - заболеваемость по обращаемости, индекс здоровья, число часто болеющих детей, общая и детская смертность, физическое развитие, инвалидность.</w:t>
      </w:r>
    </w:p>
    <w:p w:rsidR="003421BE" w:rsidRPr="003421BE" w:rsidRDefault="003421BE" w:rsidP="003421BE">
      <w:pPr>
        <w:spacing w:before="150" w:after="150" w:line="240" w:lineRule="auto"/>
        <w:ind w:left="150" w:right="150"/>
        <w:rPr>
          <w:rFonts w:ascii="Verdana" w:eastAsia="Times New Roman" w:hAnsi="Verdana" w:cs="Times New Roman"/>
          <w:color w:val="424242"/>
          <w:sz w:val="24"/>
          <w:szCs w:val="24"/>
          <w:lang w:eastAsia="ru-RU"/>
        </w:rPr>
      </w:pPr>
      <w:r w:rsidRPr="003421BE">
        <w:rPr>
          <w:rFonts w:ascii="Verdana" w:eastAsia="Times New Roman" w:hAnsi="Verdana" w:cs="Times New Roman"/>
          <w:color w:val="424242"/>
          <w:sz w:val="24"/>
          <w:szCs w:val="24"/>
          <w:lang w:eastAsia="ru-RU"/>
        </w:rPr>
        <w:t>• Социального благополучия - демографическая ситуация, показатели факторов окружающей среды, образ жизни, уровень медицинского обслуживания.</w:t>
      </w:r>
    </w:p>
    <w:p w:rsidR="003421BE" w:rsidRPr="003421BE" w:rsidRDefault="003421BE" w:rsidP="003421BE">
      <w:pPr>
        <w:spacing w:before="150" w:after="150" w:line="240" w:lineRule="auto"/>
        <w:ind w:left="150" w:right="150"/>
        <w:rPr>
          <w:rFonts w:ascii="Verdana" w:eastAsia="Times New Roman" w:hAnsi="Verdana" w:cs="Times New Roman"/>
          <w:color w:val="424242"/>
          <w:sz w:val="24"/>
          <w:szCs w:val="24"/>
          <w:lang w:eastAsia="ru-RU"/>
        </w:rPr>
      </w:pPr>
      <w:r w:rsidRPr="003421BE">
        <w:rPr>
          <w:rFonts w:ascii="Verdana" w:eastAsia="Times New Roman" w:hAnsi="Verdana" w:cs="Times New Roman"/>
          <w:color w:val="424242"/>
          <w:sz w:val="24"/>
          <w:szCs w:val="24"/>
          <w:lang w:eastAsia="ru-RU"/>
        </w:rPr>
        <w:t>• Психического благополучия - заболеваемость психическими заболеваниями, частота невротических состояний и психопатий и др.</w:t>
      </w:r>
    </w:p>
    <w:p w:rsidR="00E8312D" w:rsidRDefault="00E8312D"/>
    <w:sectPr w:rsidR="00E831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80B"/>
    <w:rsid w:val="003421BE"/>
    <w:rsid w:val="0050180B"/>
    <w:rsid w:val="00E831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529D9B-E94B-4EA2-AA48-8039D638B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421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421B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5351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1029</Words>
  <Characters>5867</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EXE</dc:creator>
  <cp:keywords/>
  <dc:description/>
  <cp:lastModifiedBy>EXE</cp:lastModifiedBy>
  <cp:revision>2</cp:revision>
  <dcterms:created xsi:type="dcterms:W3CDTF">2018-12-26T20:57:00Z</dcterms:created>
  <dcterms:modified xsi:type="dcterms:W3CDTF">2018-12-26T20:57:00Z</dcterms:modified>
</cp:coreProperties>
</file>