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063" w:rsidRDefault="00FF5063" w:rsidP="00FF5063">
      <w:pPr>
        <w:pStyle w:val="2"/>
        <w:shd w:val="clear" w:color="auto" w:fill="F5F5F5"/>
        <w:spacing w:after="450"/>
        <w:rPr>
          <w:rFonts w:ascii="Helvetica" w:hAnsi="Helvetica" w:cs="Helvetica"/>
          <w:color w:val="587CA0"/>
          <w:sz w:val="45"/>
          <w:szCs w:val="45"/>
        </w:rPr>
      </w:pPr>
      <w:r>
        <w:rPr>
          <w:rFonts w:ascii="Helvetica" w:hAnsi="Helvetica" w:cs="Helvetica"/>
          <w:b/>
          <w:bCs/>
          <w:color w:val="587CA0"/>
          <w:sz w:val="45"/>
          <w:szCs w:val="45"/>
        </w:rPr>
        <w:t>Нормативные документы Российской Федерации</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r>
        <w:rPr>
          <w:rFonts w:ascii="Helvetica" w:hAnsi="Helvetica" w:cs="Helvetica"/>
          <w:color w:val="34495E"/>
          <w:sz w:val="21"/>
          <w:szCs w:val="21"/>
        </w:rPr>
        <w:t>Нормативный правовой акт – это письменный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или отмену правовых норм. Он имеет общеобязательное государственное предписание постоянного или временного характера, рассчитанное на многократное применение. Существует зависимость формы акта от его нормативного содержания. Нормативные правовые акты принимаются (издаются) в форме законов, указов, постановлений, приказов, распоряжений, правил, инструкций, положений. Издание нормативных правовых актов в виде писем и телеграмм не допускается.</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proofErr w:type="gramStart"/>
      <w:r>
        <w:rPr>
          <w:rFonts w:ascii="Helvetica" w:hAnsi="Helvetica" w:cs="Helvetica"/>
          <w:color w:val="34495E"/>
          <w:sz w:val="21"/>
          <w:szCs w:val="21"/>
        </w:rPr>
        <w:t>Конституция  Российской</w:t>
      </w:r>
      <w:proofErr w:type="gramEnd"/>
      <w:r>
        <w:rPr>
          <w:rFonts w:ascii="Helvetica" w:hAnsi="Helvetica" w:cs="Helvetica"/>
          <w:color w:val="34495E"/>
          <w:sz w:val="21"/>
          <w:szCs w:val="21"/>
        </w:rPr>
        <w:t xml:space="preserve"> Федерации имеет высшую юридическую силу,  прямое действие и применяется на всей территории Российской Федерации.  Законы и иные правовые </w:t>
      </w:r>
      <w:proofErr w:type="gramStart"/>
      <w:r>
        <w:rPr>
          <w:rFonts w:ascii="Helvetica" w:hAnsi="Helvetica" w:cs="Helvetica"/>
          <w:color w:val="34495E"/>
          <w:sz w:val="21"/>
          <w:szCs w:val="21"/>
        </w:rPr>
        <w:t>акты,  принимаемые</w:t>
      </w:r>
      <w:proofErr w:type="gramEnd"/>
      <w:r>
        <w:rPr>
          <w:rFonts w:ascii="Helvetica" w:hAnsi="Helvetica" w:cs="Helvetica"/>
          <w:color w:val="34495E"/>
          <w:sz w:val="21"/>
          <w:szCs w:val="21"/>
        </w:rPr>
        <w:t xml:space="preserve"> в Российской Федерации, не должны противоречить Конституции Российской Федерации.</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r>
        <w:rPr>
          <w:rFonts w:ascii="Helvetica" w:hAnsi="Helvetica" w:cs="Helvetica"/>
          <w:color w:val="34495E"/>
          <w:sz w:val="21"/>
          <w:szCs w:val="21"/>
        </w:rPr>
        <w:t>Кодекс – это систематизированный законодательный акт, в котором содержатся нормы какой-либо отрасли права (например, гражданский кодекс, уголовный кодекс, процессуальный кодекс).</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r>
        <w:rPr>
          <w:rFonts w:ascii="Helvetica" w:hAnsi="Helvetica" w:cs="Helvetica"/>
          <w:color w:val="34495E"/>
          <w:sz w:val="21"/>
          <w:szCs w:val="21"/>
        </w:rPr>
        <w:t>Расположение правовых норм в кодексе производится в порядке, отражающем систему данной отрасли права.</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r>
        <w:rPr>
          <w:rFonts w:ascii="Helvetica" w:hAnsi="Helvetica" w:cs="Helvetica"/>
          <w:color w:val="34495E"/>
          <w:sz w:val="21"/>
          <w:szCs w:val="21"/>
        </w:rPr>
        <w:t xml:space="preserve">По предметам ведения </w:t>
      </w:r>
      <w:proofErr w:type="gramStart"/>
      <w:r>
        <w:rPr>
          <w:rFonts w:ascii="Helvetica" w:hAnsi="Helvetica" w:cs="Helvetica"/>
          <w:color w:val="34495E"/>
          <w:sz w:val="21"/>
          <w:szCs w:val="21"/>
        </w:rPr>
        <w:t>Российской  Федерации</w:t>
      </w:r>
      <w:proofErr w:type="gramEnd"/>
      <w:r>
        <w:rPr>
          <w:rFonts w:ascii="Helvetica" w:hAnsi="Helvetica" w:cs="Helvetica"/>
          <w:color w:val="34495E"/>
          <w:sz w:val="21"/>
          <w:szCs w:val="21"/>
        </w:rPr>
        <w:t>  принимаются  федеральные  конституционные  законы и федеральные законы,  имеющие прямое действие на всей территории Российской Федерации.</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proofErr w:type="gramStart"/>
      <w:r>
        <w:rPr>
          <w:rFonts w:ascii="Helvetica" w:hAnsi="Helvetica" w:cs="Helvetica"/>
          <w:color w:val="34495E"/>
          <w:sz w:val="21"/>
          <w:szCs w:val="21"/>
        </w:rPr>
        <w:t>По  предметам</w:t>
      </w:r>
      <w:proofErr w:type="gramEnd"/>
      <w:r>
        <w:rPr>
          <w:rFonts w:ascii="Helvetica" w:hAnsi="Helvetica" w:cs="Helvetica"/>
          <w:color w:val="34495E"/>
          <w:sz w:val="21"/>
          <w:szCs w:val="21"/>
        </w:rPr>
        <w:t xml:space="preserve">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proofErr w:type="gramStart"/>
      <w:r>
        <w:rPr>
          <w:rFonts w:ascii="Helvetica" w:hAnsi="Helvetica" w:cs="Helvetica"/>
          <w:color w:val="34495E"/>
          <w:sz w:val="21"/>
          <w:szCs w:val="21"/>
        </w:rPr>
        <w:t>Федеральные  законы</w:t>
      </w:r>
      <w:proofErr w:type="gramEnd"/>
      <w:r>
        <w:rPr>
          <w:rFonts w:ascii="Helvetica" w:hAnsi="Helvetica" w:cs="Helvetica"/>
          <w:color w:val="34495E"/>
          <w:sz w:val="21"/>
          <w:szCs w:val="21"/>
        </w:rPr>
        <w:t xml:space="preserve"> не могут противоречить федеральным конституционным законам.</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r>
        <w:rPr>
          <w:rFonts w:ascii="Helvetica" w:hAnsi="Helvetica" w:cs="Helvetica"/>
          <w:color w:val="34495E"/>
          <w:sz w:val="21"/>
          <w:szCs w:val="21"/>
        </w:rPr>
        <w:t>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r>
        <w:rPr>
          <w:rFonts w:ascii="Helvetica" w:hAnsi="Helvetica" w:cs="Helvetica"/>
          <w:color w:val="34495E"/>
          <w:sz w:val="21"/>
          <w:szCs w:val="21"/>
        </w:rPr>
        <w:t xml:space="preserve">Законы и иные нормативные правовые </w:t>
      </w:r>
      <w:proofErr w:type="gramStart"/>
      <w:r>
        <w:rPr>
          <w:rFonts w:ascii="Helvetica" w:hAnsi="Helvetica" w:cs="Helvetica"/>
          <w:color w:val="34495E"/>
          <w:sz w:val="21"/>
          <w:szCs w:val="21"/>
        </w:rPr>
        <w:t>акты  субъектов</w:t>
      </w:r>
      <w:proofErr w:type="gramEnd"/>
      <w:r>
        <w:rPr>
          <w:rFonts w:ascii="Helvetica" w:hAnsi="Helvetica" w:cs="Helvetica"/>
          <w:color w:val="34495E"/>
          <w:sz w:val="21"/>
          <w:szCs w:val="21"/>
        </w:rPr>
        <w:t xml:space="preserve">  Российской Федерации не могут противоречить федеральным законам, принятым в соответствии с частями первой и второй настоящей статьи. В случае </w:t>
      </w:r>
      <w:proofErr w:type="gramStart"/>
      <w:r>
        <w:rPr>
          <w:rFonts w:ascii="Helvetica" w:hAnsi="Helvetica" w:cs="Helvetica"/>
          <w:color w:val="34495E"/>
          <w:sz w:val="21"/>
          <w:szCs w:val="21"/>
        </w:rPr>
        <w:t>противоречия  между</w:t>
      </w:r>
      <w:proofErr w:type="gramEnd"/>
      <w:r>
        <w:rPr>
          <w:rFonts w:ascii="Helvetica" w:hAnsi="Helvetica" w:cs="Helvetica"/>
          <w:color w:val="34495E"/>
          <w:sz w:val="21"/>
          <w:szCs w:val="21"/>
        </w:rPr>
        <w:t>  федеральным законом и иным актом,  изданным в Российской Федерации, действует федеральный закон.</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proofErr w:type="gramStart"/>
      <w:r>
        <w:rPr>
          <w:rFonts w:ascii="Helvetica" w:hAnsi="Helvetica" w:cs="Helvetica"/>
          <w:color w:val="34495E"/>
          <w:sz w:val="21"/>
          <w:szCs w:val="21"/>
        </w:rPr>
        <w:t>В  случае</w:t>
      </w:r>
      <w:proofErr w:type="gramEnd"/>
      <w:r>
        <w:rPr>
          <w:rFonts w:ascii="Helvetica" w:hAnsi="Helvetica" w:cs="Helvetica"/>
          <w:color w:val="34495E"/>
          <w:sz w:val="21"/>
          <w:szCs w:val="21"/>
        </w:rPr>
        <w:t xml:space="preserve">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FF5063" w:rsidRDefault="00FF5063" w:rsidP="00FF5063">
      <w:pPr>
        <w:pStyle w:val="a5"/>
        <w:shd w:val="clear" w:color="auto" w:fill="F5F5F5"/>
        <w:spacing w:before="0" w:beforeAutospacing="0" w:after="150" w:afterAutospacing="0"/>
        <w:rPr>
          <w:rFonts w:ascii="Helvetica" w:hAnsi="Helvetica" w:cs="Helvetica"/>
          <w:color w:val="34495E"/>
          <w:sz w:val="21"/>
          <w:szCs w:val="21"/>
        </w:rPr>
      </w:pPr>
      <w:r>
        <w:rPr>
          <w:rFonts w:ascii="Helvetica" w:hAnsi="Helvetica" w:cs="Helvetica"/>
          <w:color w:val="34495E"/>
          <w:sz w:val="21"/>
          <w:szCs w:val="21"/>
        </w:rPr>
        <w:t xml:space="preserve">По законодательству России закон – это нормативный правовой акт, принятый Государственной Думой, одобренный Советом Федерации, подписанный Президентом </w:t>
      </w:r>
      <w:proofErr w:type="gramStart"/>
      <w:r>
        <w:rPr>
          <w:rFonts w:ascii="Helvetica" w:hAnsi="Helvetica" w:cs="Helvetica"/>
          <w:color w:val="34495E"/>
          <w:sz w:val="21"/>
          <w:szCs w:val="21"/>
        </w:rPr>
        <w:t>России  и</w:t>
      </w:r>
      <w:proofErr w:type="gramEnd"/>
      <w:r>
        <w:rPr>
          <w:rFonts w:ascii="Helvetica" w:hAnsi="Helvetica" w:cs="Helvetica"/>
          <w:color w:val="34495E"/>
          <w:sz w:val="21"/>
          <w:szCs w:val="21"/>
        </w:rPr>
        <w:t xml:space="preserve"> обнародованный в установленном порядке.</w:t>
      </w:r>
    </w:p>
    <w:p w:rsidR="00FF5063" w:rsidRDefault="00FF5063" w:rsidP="00FF5063">
      <w:pPr>
        <w:pStyle w:val="4"/>
        <w:shd w:val="clear" w:color="auto" w:fill="F5F5F5"/>
        <w:spacing w:before="900" w:after="450"/>
        <w:rPr>
          <w:rFonts w:ascii="Helvetica" w:hAnsi="Helvetica" w:cs="Helvetica"/>
          <w:color w:val="587CA0"/>
          <w:sz w:val="27"/>
          <w:szCs w:val="27"/>
        </w:rPr>
      </w:pPr>
      <w:r>
        <w:rPr>
          <w:rFonts w:ascii="Helvetica" w:hAnsi="Helvetica" w:cs="Helvetica"/>
          <w:b/>
          <w:bCs/>
          <w:color w:val="587CA0"/>
          <w:sz w:val="27"/>
          <w:szCs w:val="27"/>
        </w:rPr>
        <w:lastRenderedPageBreak/>
        <w:t>Основное законодательство Российской Федерации выглядит следующим образом:</w:t>
      </w:r>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5" w:tgtFrame="_blank" w:tooltip="Конституция" w:history="1">
        <w:r>
          <w:rPr>
            <w:rStyle w:val="a3"/>
            <w:rFonts w:ascii="Helvetica" w:hAnsi="Helvetica" w:cs="Helvetica"/>
            <w:color w:val="00BFF3"/>
            <w:sz w:val="21"/>
            <w:szCs w:val="21"/>
          </w:rPr>
          <w:t>Конституция</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6" w:tgtFrame="_blank" w:tooltip="Кодекс Российской Федерации об       административных правонарушениях" w:history="1">
        <w:r>
          <w:rPr>
            <w:rStyle w:val="a3"/>
            <w:rFonts w:ascii="Helvetica" w:hAnsi="Helvetica" w:cs="Helvetica"/>
            <w:color w:val="00BFF3"/>
            <w:sz w:val="21"/>
            <w:szCs w:val="21"/>
          </w:rPr>
          <w:t>Кодекс Российской Федерации об административных правонарушениях</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7" w:tgtFrame="_blank" w:tooltip="Арбитражный процессуальный       кодекс Российской Федерации" w:history="1">
        <w:r>
          <w:rPr>
            <w:rStyle w:val="a3"/>
            <w:rFonts w:ascii="Helvetica" w:hAnsi="Helvetica" w:cs="Helvetica"/>
            <w:color w:val="00BFF3"/>
            <w:sz w:val="21"/>
            <w:szCs w:val="21"/>
          </w:rPr>
          <w:t>Арбитражный процессуальный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8" w:tgtFrame="_blank" w:tooltip="Гражданский кодекс Российской       Федерации (часть первая)" w:history="1">
        <w:r>
          <w:rPr>
            <w:rStyle w:val="a3"/>
            <w:rFonts w:ascii="Helvetica" w:hAnsi="Helvetica" w:cs="Helvetica"/>
            <w:color w:val="00BFF3"/>
            <w:sz w:val="21"/>
            <w:szCs w:val="21"/>
          </w:rPr>
          <w:t>Гражданский кодекс Российской Федерации (часть первая)</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9" w:tgtFrame="_blank" w:tooltip="Гражданский       кодекс Российской Федерации (часть вторая)" w:history="1">
        <w:r>
          <w:rPr>
            <w:rStyle w:val="a3"/>
            <w:rFonts w:ascii="Helvetica" w:hAnsi="Helvetica" w:cs="Helvetica"/>
            <w:color w:val="00BFF3"/>
            <w:sz w:val="21"/>
            <w:szCs w:val="21"/>
          </w:rPr>
          <w:t>Гражданский кодекс Российской Федерации (часть вторая)</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10" w:tgtFrame="_blank" w:tooltip="Гражданский кодекс Российской Федерации       (часть третья)" w:history="1">
        <w:r>
          <w:rPr>
            <w:rStyle w:val="a3"/>
            <w:rFonts w:ascii="Helvetica" w:hAnsi="Helvetica" w:cs="Helvetica"/>
            <w:color w:val="00BFF3"/>
            <w:sz w:val="21"/>
            <w:szCs w:val="21"/>
          </w:rPr>
          <w:t>Гражданский кодекс Российской Федерации (часть третья)</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11" w:tgtFrame="_blank" w:tooltip="Гражданский кодекс Российской       Федерации (часть четвертая)" w:history="1">
        <w:r>
          <w:rPr>
            <w:rStyle w:val="a3"/>
            <w:rFonts w:ascii="Helvetica" w:hAnsi="Helvetica" w:cs="Helvetica"/>
            <w:color w:val="00BFF3"/>
            <w:sz w:val="21"/>
            <w:szCs w:val="21"/>
          </w:rPr>
          <w:t>Гражданский кодекс Российской Федерации (часть четвертая)</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12" w:tgtFrame="_blank" w:tooltip="Воздушный кодекс Российской Федерации" w:history="1">
        <w:r>
          <w:rPr>
            <w:rStyle w:val="a3"/>
            <w:rFonts w:ascii="Helvetica" w:hAnsi="Helvetica" w:cs="Helvetica"/>
            <w:color w:val="00BFF3"/>
            <w:sz w:val="21"/>
            <w:szCs w:val="21"/>
          </w:rPr>
          <w:t>Воздушный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13" w:tgtFrame="_blank" w:tooltip="Кодекс внутреннего водного       транспорта Российской Федерации" w:history="1">
        <w:r>
          <w:rPr>
            <w:rStyle w:val="a3"/>
            <w:rFonts w:ascii="Helvetica" w:hAnsi="Helvetica" w:cs="Helvetica"/>
            <w:color w:val="00BFF3"/>
            <w:sz w:val="21"/>
            <w:szCs w:val="21"/>
          </w:rPr>
          <w:t>Кодекс внутреннего водного транспорта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14" w:tgtFrame="_blank" w:tooltip="Кодекс торгового мореплавания Российской       Федерации" w:history="1">
        <w:r>
          <w:rPr>
            <w:rStyle w:val="a3"/>
            <w:rFonts w:ascii="Helvetica" w:hAnsi="Helvetica" w:cs="Helvetica"/>
            <w:color w:val="00BFF3"/>
            <w:sz w:val="21"/>
            <w:szCs w:val="21"/>
          </w:rPr>
          <w:t>Кодекс торгового мореплавания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15" w:tgtFrame="_blank" w:tooltip="Уголовно-процессуальный кодекс       Российской Федерации" w:history="1">
        <w:r>
          <w:rPr>
            <w:rStyle w:val="a3"/>
            <w:rFonts w:ascii="Helvetica" w:hAnsi="Helvetica" w:cs="Helvetica"/>
            <w:color w:val="00BFF3"/>
            <w:sz w:val="21"/>
            <w:szCs w:val="21"/>
          </w:rPr>
          <w:t>Уголовно-процессуальный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16" w:tgtFrame="_blank" w:tooltip="Бюджетный кодекс Российской Федерации" w:history="1">
        <w:r>
          <w:rPr>
            <w:rStyle w:val="a3"/>
            <w:rFonts w:ascii="Helvetica" w:hAnsi="Helvetica" w:cs="Helvetica"/>
            <w:color w:val="00BFF3"/>
            <w:sz w:val="21"/>
            <w:szCs w:val="21"/>
          </w:rPr>
          <w:t>Бюджетный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17" w:tgtFrame="_blank" w:tooltip="Уголовно-исполнительный кодекс       Российской Федерации" w:history="1">
        <w:r>
          <w:rPr>
            <w:rStyle w:val="a3"/>
            <w:rFonts w:ascii="Helvetica" w:hAnsi="Helvetica" w:cs="Helvetica"/>
            <w:color w:val="00BFF3"/>
            <w:sz w:val="21"/>
            <w:szCs w:val="21"/>
          </w:rPr>
          <w:t>Уголовно-исполнительный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18" w:tgtFrame="_blank" w:tooltip="Налоговый кодекс Российской Федерации       (часть первая)" w:history="1">
        <w:r>
          <w:rPr>
            <w:rStyle w:val="a3"/>
            <w:rFonts w:ascii="Helvetica" w:hAnsi="Helvetica" w:cs="Helvetica"/>
            <w:color w:val="00BFF3"/>
            <w:sz w:val="21"/>
            <w:szCs w:val="21"/>
          </w:rPr>
          <w:t>Налоговый кодекс Российской Федерации (часть первая)</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19" w:tgtFrame="_blank" w:tooltip="Налоговый кодекс Российской Федерации       (часть вторая)" w:history="1">
        <w:r>
          <w:rPr>
            <w:rStyle w:val="a3"/>
            <w:rFonts w:ascii="Helvetica" w:hAnsi="Helvetica" w:cs="Helvetica"/>
            <w:color w:val="00BFF3"/>
            <w:sz w:val="21"/>
            <w:szCs w:val="21"/>
          </w:rPr>
          <w:t>Налоговый кодекс Российской Федерации (часть вторая)</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20" w:tgtFrame="_blank" w:tooltip="Уголовный кодекс Российской Федерации" w:history="1">
        <w:r>
          <w:rPr>
            <w:rStyle w:val="a3"/>
            <w:rFonts w:ascii="Helvetica" w:hAnsi="Helvetica" w:cs="Helvetica"/>
            <w:color w:val="00BFF3"/>
            <w:sz w:val="21"/>
            <w:szCs w:val="21"/>
          </w:rPr>
          <w:t>Уголовный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21" w:tgtFrame="_blank" w:tooltip="Семейный кодекс Российской Федерации" w:history="1">
        <w:r>
          <w:rPr>
            <w:rStyle w:val="a3"/>
            <w:rFonts w:ascii="Helvetica" w:hAnsi="Helvetica" w:cs="Helvetica"/>
            <w:color w:val="00BFF3"/>
            <w:sz w:val="21"/>
            <w:szCs w:val="21"/>
          </w:rPr>
          <w:t>Семейный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22" w:tgtFrame="_blank" w:tooltip="Трудовой       кодекс Российской Федерации" w:history="1">
        <w:r>
          <w:rPr>
            <w:rStyle w:val="a3"/>
            <w:rFonts w:ascii="Helvetica" w:hAnsi="Helvetica" w:cs="Helvetica"/>
            <w:color w:val="00BFF3"/>
            <w:sz w:val="21"/>
            <w:szCs w:val="21"/>
          </w:rPr>
          <w:t>Трудовой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23" w:tgtFrame="_blank" w:tooltip="Земельный кодекс Российской Федерации" w:history="1">
        <w:r>
          <w:rPr>
            <w:rStyle w:val="a3"/>
            <w:rFonts w:ascii="Helvetica" w:hAnsi="Helvetica" w:cs="Helvetica"/>
            <w:color w:val="00BFF3"/>
            <w:sz w:val="21"/>
            <w:szCs w:val="21"/>
          </w:rPr>
          <w:t>Земельный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24" w:tgtFrame="_blank" w:tooltip="Гражданский процессуальный       кодекс Российской Федерации" w:history="1">
        <w:r>
          <w:rPr>
            <w:rStyle w:val="a3"/>
            <w:rFonts w:ascii="Helvetica" w:hAnsi="Helvetica" w:cs="Helvetica"/>
            <w:color w:val="00BFF3"/>
            <w:sz w:val="21"/>
            <w:szCs w:val="21"/>
          </w:rPr>
          <w:t>Гражданский процессуальный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25" w:tgtFrame="_blank" w:tooltip="Жилищный кодекс Российской Федерации" w:history="1">
        <w:r>
          <w:rPr>
            <w:rStyle w:val="a3"/>
            <w:rFonts w:ascii="Helvetica" w:hAnsi="Helvetica" w:cs="Helvetica"/>
            <w:color w:val="00BFF3"/>
            <w:sz w:val="21"/>
            <w:szCs w:val="21"/>
          </w:rPr>
          <w:t>Жилищный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26" w:tgtFrame="_blank" w:tooltip="Градостроительный кодекс Российской       Федерации" w:history="1">
        <w:r>
          <w:rPr>
            <w:rStyle w:val="a3"/>
            <w:rFonts w:ascii="Helvetica" w:hAnsi="Helvetica" w:cs="Helvetica"/>
            <w:color w:val="00BFF3"/>
            <w:sz w:val="21"/>
            <w:szCs w:val="21"/>
          </w:rPr>
          <w:t>Градостроительный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27" w:tgtFrame="_blank" w:tooltip="Кодекс судейской этики" w:history="1">
        <w:r>
          <w:rPr>
            <w:rStyle w:val="a3"/>
            <w:rFonts w:ascii="Helvetica" w:hAnsi="Helvetica" w:cs="Helvetica"/>
            <w:color w:val="00BFF3"/>
            <w:sz w:val="21"/>
            <w:szCs w:val="21"/>
          </w:rPr>
          <w:t>Кодекс судейской этики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28" w:tgtFrame="_blank" w:tooltip="Водный кодекс Российской Федерации" w:history="1">
        <w:r>
          <w:rPr>
            <w:rStyle w:val="a3"/>
            <w:rFonts w:ascii="Helvetica" w:hAnsi="Helvetica" w:cs="Helvetica"/>
            <w:color w:val="00BFF3"/>
            <w:sz w:val="21"/>
            <w:szCs w:val="21"/>
          </w:rPr>
          <w:t>Водный кодекс Российской Федерации</w:t>
        </w:r>
      </w:hyperlink>
    </w:p>
    <w:p w:rsidR="00FF5063" w:rsidRDefault="00FF5063" w:rsidP="00FF5063">
      <w:pPr>
        <w:numPr>
          <w:ilvl w:val="0"/>
          <w:numId w:val="6"/>
        </w:numPr>
        <w:shd w:val="clear" w:color="auto" w:fill="F5F5F5"/>
        <w:spacing w:before="100" w:beforeAutospacing="1" w:after="100" w:afterAutospacing="1" w:line="240" w:lineRule="auto"/>
        <w:rPr>
          <w:rFonts w:ascii="Helvetica" w:hAnsi="Helvetica" w:cs="Helvetica"/>
          <w:color w:val="34495E"/>
          <w:sz w:val="21"/>
          <w:szCs w:val="21"/>
        </w:rPr>
      </w:pPr>
      <w:hyperlink r:id="rId29" w:tgtFrame="_blank" w:tooltip="Лесной кодекс Российской Федерации" w:history="1">
        <w:r>
          <w:rPr>
            <w:rStyle w:val="a3"/>
            <w:rFonts w:ascii="Helvetica" w:hAnsi="Helvetica" w:cs="Helvetica"/>
            <w:color w:val="00BFF3"/>
            <w:sz w:val="21"/>
            <w:szCs w:val="21"/>
          </w:rPr>
          <w:t>Лесной кодекс Российской Федерации</w:t>
        </w:r>
      </w:hyperlink>
    </w:p>
    <w:p w:rsidR="00FF5063" w:rsidRDefault="00FF5063" w:rsidP="00FF5063">
      <w:pPr>
        <w:pStyle w:val="a5"/>
        <w:shd w:val="clear" w:color="auto" w:fill="F0F0F0"/>
        <w:spacing w:before="0" w:beforeAutospacing="0" w:after="150" w:afterAutospacing="0"/>
        <w:rPr>
          <w:rFonts w:ascii="Helvetica" w:hAnsi="Helvetica" w:cs="Helvetica"/>
          <w:color w:val="34495E"/>
          <w:sz w:val="26"/>
          <w:szCs w:val="26"/>
        </w:rPr>
      </w:pPr>
      <w:r>
        <w:rPr>
          <w:rFonts w:ascii="Helvetica" w:hAnsi="Helvetica" w:cs="Helvetica"/>
          <w:color w:val="34495E"/>
          <w:sz w:val="26"/>
          <w:szCs w:val="26"/>
        </w:rPr>
        <w:t>Статья подготовлена специалистами </w:t>
      </w:r>
    </w:p>
    <w:p w:rsidR="006F59EA" w:rsidRDefault="006F59EA">
      <w:bookmarkStart w:id="0" w:name="_GoBack"/>
      <w:bookmarkEnd w:id="0"/>
    </w:p>
    <w:sectPr w:rsidR="006F5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C2FAA"/>
    <w:multiLevelType w:val="multilevel"/>
    <w:tmpl w:val="AFC4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1221D"/>
    <w:multiLevelType w:val="multilevel"/>
    <w:tmpl w:val="B55A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2739C"/>
    <w:multiLevelType w:val="multilevel"/>
    <w:tmpl w:val="CB46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519CC"/>
    <w:multiLevelType w:val="multilevel"/>
    <w:tmpl w:val="D1CCF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4E0FBC"/>
    <w:multiLevelType w:val="multilevel"/>
    <w:tmpl w:val="C2EE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A15BF6"/>
    <w:multiLevelType w:val="multilevel"/>
    <w:tmpl w:val="57A8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F7"/>
    <w:rsid w:val="006F59EA"/>
    <w:rsid w:val="00B37D0F"/>
    <w:rsid w:val="00E73DF7"/>
    <w:rsid w:val="00FF5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38C89-ACA5-4C4E-9739-17D5C0CA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7D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F50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FF50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D0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37D0F"/>
    <w:rPr>
      <w:color w:val="0000FF"/>
      <w:u w:val="single"/>
    </w:rPr>
  </w:style>
  <w:style w:type="character" w:styleId="a4">
    <w:name w:val="Emphasis"/>
    <w:basedOn w:val="a0"/>
    <w:uiPriority w:val="20"/>
    <w:qFormat/>
    <w:rsid w:val="00B37D0F"/>
    <w:rPr>
      <w:i/>
      <w:iCs/>
    </w:rPr>
  </w:style>
  <w:style w:type="paragraph" w:styleId="a5">
    <w:name w:val="Normal (Web)"/>
    <w:basedOn w:val="a"/>
    <w:uiPriority w:val="99"/>
    <w:semiHidden/>
    <w:unhideWhenUsed/>
    <w:rsid w:val="00B37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37D0F"/>
    <w:rPr>
      <w:b/>
      <w:bCs/>
    </w:rPr>
  </w:style>
  <w:style w:type="character" w:customStyle="1" w:styleId="20">
    <w:name w:val="Заголовок 2 Знак"/>
    <w:basedOn w:val="a0"/>
    <w:link w:val="2"/>
    <w:uiPriority w:val="9"/>
    <w:semiHidden/>
    <w:rsid w:val="00FF5063"/>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FF50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50925">
      <w:bodyDiv w:val="1"/>
      <w:marLeft w:val="0"/>
      <w:marRight w:val="0"/>
      <w:marTop w:val="0"/>
      <w:marBottom w:val="0"/>
      <w:divBdr>
        <w:top w:val="none" w:sz="0" w:space="0" w:color="auto"/>
        <w:left w:val="none" w:sz="0" w:space="0" w:color="auto"/>
        <w:bottom w:val="none" w:sz="0" w:space="0" w:color="auto"/>
        <w:right w:val="none" w:sz="0" w:space="0" w:color="auto"/>
      </w:divBdr>
      <w:divsChild>
        <w:div w:id="1057321622">
          <w:marLeft w:val="-225"/>
          <w:marRight w:val="-225"/>
          <w:marTop w:val="0"/>
          <w:marBottom w:val="0"/>
          <w:divBdr>
            <w:top w:val="none" w:sz="0" w:space="0" w:color="auto"/>
            <w:left w:val="none" w:sz="0" w:space="0" w:color="auto"/>
            <w:bottom w:val="none" w:sz="0" w:space="0" w:color="auto"/>
            <w:right w:val="none" w:sz="0" w:space="0" w:color="auto"/>
          </w:divBdr>
        </w:div>
      </w:divsChild>
    </w:div>
    <w:div w:id="2123453516">
      <w:bodyDiv w:val="1"/>
      <w:marLeft w:val="0"/>
      <w:marRight w:val="0"/>
      <w:marTop w:val="0"/>
      <w:marBottom w:val="0"/>
      <w:divBdr>
        <w:top w:val="none" w:sz="0" w:space="0" w:color="auto"/>
        <w:left w:val="none" w:sz="0" w:space="0" w:color="auto"/>
        <w:bottom w:val="none" w:sz="0" w:space="0" w:color="auto"/>
        <w:right w:val="none" w:sz="0" w:space="0" w:color="auto"/>
      </w:divBdr>
      <w:divsChild>
        <w:div w:id="855342946">
          <w:blockQuote w:val="1"/>
          <w:marLeft w:val="0"/>
          <w:marRight w:val="0"/>
          <w:marTop w:val="900"/>
          <w:marBottom w:val="300"/>
          <w:divBdr>
            <w:top w:val="none" w:sz="0" w:space="0" w:color="auto"/>
            <w:left w:val="single" w:sz="36" w:space="15" w:color="FE495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spinform.ru/show_doc.fwx?rgn=1415" TargetMode="External"/><Relationship Id="rId13" Type="http://schemas.openxmlformats.org/officeDocument/2006/relationships/hyperlink" Target="http://base.spinform.ru/show_doc.fwx?rgn=1563" TargetMode="External"/><Relationship Id="rId18" Type="http://schemas.openxmlformats.org/officeDocument/2006/relationships/hyperlink" Target="http://base.spinform.ru/show_doc.fwx?rgn=1711" TargetMode="External"/><Relationship Id="rId26" Type="http://schemas.openxmlformats.org/officeDocument/2006/relationships/hyperlink" Target="http://base.spinform.ru/show_doc.fwx?rgn=7632" TargetMode="External"/><Relationship Id="rId3" Type="http://schemas.openxmlformats.org/officeDocument/2006/relationships/settings" Target="settings.xml"/><Relationship Id="rId21" Type="http://schemas.openxmlformats.org/officeDocument/2006/relationships/hyperlink" Target="http://base.spinform.ru/show_doc.fwx?rgn=1809" TargetMode="External"/><Relationship Id="rId7" Type="http://schemas.openxmlformats.org/officeDocument/2006/relationships/hyperlink" Target="http://base.spinform.ru/show_doc.fwx?rgn=1405" TargetMode="External"/><Relationship Id="rId12" Type="http://schemas.openxmlformats.org/officeDocument/2006/relationships/hyperlink" Target="http://base.spinform.ru/show_doc.fwx?rgn=1552" TargetMode="External"/><Relationship Id="rId17" Type="http://schemas.openxmlformats.org/officeDocument/2006/relationships/hyperlink" Target="http://base.spinform.ru/show_doc.fwx?rgn=1707" TargetMode="External"/><Relationship Id="rId25" Type="http://schemas.openxmlformats.org/officeDocument/2006/relationships/hyperlink" Target="http://base.spinform.ru/show_doc.fwx?rgn=7623" TargetMode="External"/><Relationship Id="rId2" Type="http://schemas.openxmlformats.org/officeDocument/2006/relationships/styles" Target="styles.xml"/><Relationship Id="rId16" Type="http://schemas.openxmlformats.org/officeDocument/2006/relationships/hyperlink" Target="http://base.spinform.ru/show_doc.fwx?rgn=1694" TargetMode="External"/><Relationship Id="rId20" Type="http://schemas.openxmlformats.org/officeDocument/2006/relationships/hyperlink" Target="http://base.spinform.ru/show_doc.fwx?rgn=1747" TargetMode="External"/><Relationship Id="rId29" Type="http://schemas.openxmlformats.org/officeDocument/2006/relationships/hyperlink" Target="http://base.spinform.ru/show_doc.fwx?rgn=14602" TargetMode="External"/><Relationship Id="rId1" Type="http://schemas.openxmlformats.org/officeDocument/2006/relationships/numbering" Target="numbering.xml"/><Relationship Id="rId6" Type="http://schemas.openxmlformats.org/officeDocument/2006/relationships/hyperlink" Target="http://base.spinform.ru/show_doc.fwx?rgn=1404" TargetMode="External"/><Relationship Id="rId11" Type="http://schemas.openxmlformats.org/officeDocument/2006/relationships/hyperlink" Target="http://base.spinform.ru/show_doc.fwx?rgn=14605" TargetMode="External"/><Relationship Id="rId24" Type="http://schemas.openxmlformats.org/officeDocument/2006/relationships/hyperlink" Target="http://base.spinform.ru/show_doc.fwx?rgn=3569" TargetMode="External"/><Relationship Id="rId5" Type="http://schemas.openxmlformats.org/officeDocument/2006/relationships/hyperlink" Target="http://base.spinform.ru/show_doc.fwx?rgn=1409" TargetMode="External"/><Relationship Id="rId15" Type="http://schemas.openxmlformats.org/officeDocument/2006/relationships/hyperlink" Target="http://base.spinform.ru/show_doc.fwx?rgn=1660" TargetMode="External"/><Relationship Id="rId23" Type="http://schemas.openxmlformats.org/officeDocument/2006/relationships/hyperlink" Target="http://base.spinform.ru/show_doc.fwx?rgn=3104" TargetMode="External"/><Relationship Id="rId28" Type="http://schemas.openxmlformats.org/officeDocument/2006/relationships/hyperlink" Target="http://base.spinform.ru/show_doc.fwx?rgn=13410" TargetMode="External"/><Relationship Id="rId10" Type="http://schemas.openxmlformats.org/officeDocument/2006/relationships/hyperlink" Target="http://base.spinform.ru/show_doc.fwx?rgn=1491" TargetMode="External"/><Relationship Id="rId19" Type="http://schemas.openxmlformats.org/officeDocument/2006/relationships/hyperlink" Target="http://base.spinform.ru/show_doc.fwx?rgn=171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spinform.ru/show_doc.fwx?rgn=1421" TargetMode="External"/><Relationship Id="rId14" Type="http://schemas.openxmlformats.org/officeDocument/2006/relationships/hyperlink" Target="http://base.spinform.ru/show_doc.fwx?rgn=1565" TargetMode="External"/><Relationship Id="rId22" Type="http://schemas.openxmlformats.org/officeDocument/2006/relationships/hyperlink" Target="http://base.spinform.ru/show_doc.fwx?rgn=1811" TargetMode="External"/><Relationship Id="rId27" Type="http://schemas.openxmlformats.org/officeDocument/2006/relationships/hyperlink" Target="http://base.spinform.ru/show_doc.fwx?rgn=763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dc:creator>
  <cp:keywords/>
  <dc:description/>
  <cp:lastModifiedBy>EXE</cp:lastModifiedBy>
  <cp:revision>2</cp:revision>
  <dcterms:created xsi:type="dcterms:W3CDTF">2018-12-26T22:24:00Z</dcterms:created>
  <dcterms:modified xsi:type="dcterms:W3CDTF">2018-12-26T22:24:00Z</dcterms:modified>
</cp:coreProperties>
</file>